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B59" w:rsidRPr="001C5C71" w:rsidRDefault="00ED7000" w:rsidP="00ED7000">
      <w:pPr>
        <w:autoSpaceDE w:val="0"/>
        <w:autoSpaceDN w:val="0"/>
        <w:adjustRightInd w:val="0"/>
        <w:spacing w:after="0" w:line="360" w:lineRule="auto"/>
        <w:jc w:val="center"/>
        <w:rPr>
          <w:rFonts w:cs="Times New Roman"/>
          <w:b/>
          <w:bCs/>
          <w:i/>
          <w:iCs/>
          <w:color w:val="000000"/>
          <w:sz w:val="28"/>
          <w:szCs w:val="28"/>
        </w:rPr>
      </w:pPr>
      <w:r w:rsidRPr="001C5C71">
        <w:rPr>
          <w:rFonts w:cs="Times New Roman"/>
          <w:b/>
          <w:bCs/>
          <w:color w:val="000000"/>
          <w:sz w:val="28"/>
          <w:szCs w:val="28"/>
          <w:lang w:val="en-US"/>
        </w:rPr>
        <w:t>I</w:t>
      </w:r>
      <w:r w:rsidR="00262B59" w:rsidRPr="001C5C71">
        <w:rPr>
          <w:rFonts w:cs="Times New Roman"/>
          <w:b/>
          <w:bCs/>
          <w:color w:val="000000"/>
          <w:sz w:val="28"/>
          <w:szCs w:val="28"/>
        </w:rPr>
        <w:t>NHIBISI ENZIM α-GLUKOSIDASE OLEH EKSTRAK ETANOLRIMPANG LEMPUYANG EMPRIT (</w:t>
      </w:r>
      <w:r w:rsidR="00262B59" w:rsidRPr="001C5C71">
        <w:rPr>
          <w:rFonts w:cs="Times New Roman"/>
          <w:b/>
          <w:bCs/>
          <w:i/>
          <w:color w:val="000000"/>
          <w:sz w:val="28"/>
          <w:szCs w:val="28"/>
        </w:rPr>
        <w:t xml:space="preserve">Zingiber amaricans </w:t>
      </w:r>
      <w:r w:rsidR="00262B59" w:rsidRPr="001C5C71">
        <w:rPr>
          <w:rFonts w:cs="Times New Roman"/>
          <w:b/>
          <w:bCs/>
          <w:color w:val="000000"/>
          <w:sz w:val="28"/>
          <w:szCs w:val="28"/>
        </w:rPr>
        <w:t xml:space="preserve">Bl) SECARA </w:t>
      </w:r>
      <w:r w:rsidR="00262B59" w:rsidRPr="001C5C71">
        <w:rPr>
          <w:rFonts w:cs="Times New Roman"/>
          <w:b/>
          <w:bCs/>
          <w:i/>
          <w:iCs/>
          <w:color w:val="000000"/>
          <w:sz w:val="28"/>
          <w:szCs w:val="28"/>
        </w:rPr>
        <w:t>IN VITRO</w:t>
      </w:r>
    </w:p>
    <w:p w:rsidR="00ED7000" w:rsidRPr="001C5C71" w:rsidRDefault="00ED7000" w:rsidP="00ED7000">
      <w:pPr>
        <w:spacing w:after="0" w:line="360" w:lineRule="auto"/>
        <w:jc w:val="center"/>
        <w:rPr>
          <w:rFonts w:cs="Times New Roman"/>
          <w:szCs w:val="24"/>
          <w:lang w:val="en-US"/>
        </w:rPr>
      </w:pPr>
    </w:p>
    <w:p w:rsidR="00262B59" w:rsidRPr="001C5C71" w:rsidRDefault="00262B59" w:rsidP="00ED7000">
      <w:pPr>
        <w:spacing w:after="0" w:line="360" w:lineRule="auto"/>
        <w:jc w:val="center"/>
        <w:rPr>
          <w:rFonts w:cs="Times New Roman"/>
          <w:szCs w:val="24"/>
        </w:rPr>
      </w:pPr>
      <w:r w:rsidRPr="001C5C71">
        <w:rPr>
          <w:rFonts w:cs="Times New Roman"/>
          <w:szCs w:val="24"/>
        </w:rPr>
        <w:t>Dedi Hanwar, M.Si., Apt. , Andi Suhendi, M.Sc., Apt. , Rosid Mustopa</w:t>
      </w:r>
    </w:p>
    <w:p w:rsidR="0044474C" w:rsidRPr="001C5C71" w:rsidRDefault="0044474C" w:rsidP="00ED7000">
      <w:pPr>
        <w:spacing w:after="0" w:line="360" w:lineRule="auto"/>
        <w:jc w:val="center"/>
        <w:rPr>
          <w:rFonts w:cs="Times New Roman"/>
          <w:szCs w:val="24"/>
        </w:rPr>
      </w:pPr>
      <w:r w:rsidRPr="001C5C71">
        <w:rPr>
          <w:rFonts w:cs="Times New Roman"/>
          <w:szCs w:val="24"/>
        </w:rPr>
        <w:t>Fakultas Farmasi Universitas Muhammadiyah Surakarta,</w:t>
      </w:r>
    </w:p>
    <w:p w:rsidR="0044474C" w:rsidRPr="001C5C71" w:rsidRDefault="0044474C" w:rsidP="00ED7000">
      <w:pPr>
        <w:spacing w:after="0" w:line="360" w:lineRule="auto"/>
        <w:jc w:val="center"/>
        <w:rPr>
          <w:rFonts w:cs="Times New Roman"/>
          <w:szCs w:val="24"/>
        </w:rPr>
      </w:pPr>
      <w:r w:rsidRPr="001C5C71">
        <w:rPr>
          <w:rFonts w:cs="Times New Roman"/>
          <w:szCs w:val="24"/>
        </w:rPr>
        <w:t>Jl. A. Yani Tromol Pos 1, Pabelan Kartasura Surakarta 57102</w:t>
      </w:r>
    </w:p>
    <w:p w:rsidR="0044474C" w:rsidRPr="001C5C71" w:rsidRDefault="00262B59" w:rsidP="00ED7000">
      <w:pPr>
        <w:spacing w:after="0" w:line="360" w:lineRule="auto"/>
        <w:jc w:val="center"/>
        <w:rPr>
          <w:rFonts w:cs="Times New Roman"/>
          <w:szCs w:val="24"/>
        </w:rPr>
      </w:pPr>
      <w:r w:rsidRPr="001C5C71">
        <w:rPr>
          <w:rFonts w:cs="Times New Roman"/>
          <w:szCs w:val="24"/>
        </w:rPr>
        <w:t xml:space="preserve">*Email: </w:t>
      </w:r>
      <w:hyperlink r:id="rId8" w:history="1">
        <w:r w:rsidRPr="001C5C71">
          <w:rPr>
            <w:rStyle w:val="Hyperlink"/>
            <w:rFonts w:cs="Times New Roman"/>
            <w:szCs w:val="24"/>
          </w:rPr>
          <w:t>dedi.hanwar@ums.ac.id</w:t>
        </w:r>
      </w:hyperlink>
    </w:p>
    <w:p w:rsidR="00207539" w:rsidRPr="001C5C71" w:rsidRDefault="00207539" w:rsidP="00ED7000">
      <w:pPr>
        <w:spacing w:after="0" w:line="360" w:lineRule="auto"/>
        <w:jc w:val="center"/>
        <w:rPr>
          <w:rFonts w:cs="Times New Roman"/>
          <w:szCs w:val="24"/>
        </w:rPr>
      </w:pPr>
    </w:p>
    <w:p w:rsidR="00207539" w:rsidRPr="001C5C71" w:rsidRDefault="00207539" w:rsidP="00ED7000">
      <w:pPr>
        <w:spacing w:after="0" w:line="360" w:lineRule="auto"/>
        <w:jc w:val="center"/>
        <w:rPr>
          <w:rFonts w:cs="Times New Roman"/>
          <w:i/>
          <w:szCs w:val="24"/>
        </w:rPr>
      </w:pPr>
      <w:r w:rsidRPr="001C5C71">
        <w:rPr>
          <w:rFonts w:cs="Times New Roman"/>
          <w:i/>
          <w:szCs w:val="24"/>
        </w:rPr>
        <w:t>Abstract</w:t>
      </w:r>
    </w:p>
    <w:p w:rsidR="00207539" w:rsidRPr="001C5C71" w:rsidRDefault="00207539" w:rsidP="00ED7000">
      <w:pPr>
        <w:spacing w:after="0" w:line="360" w:lineRule="auto"/>
        <w:jc w:val="center"/>
        <w:rPr>
          <w:rFonts w:cs="Times New Roman"/>
          <w:i/>
          <w:szCs w:val="24"/>
        </w:rPr>
      </w:pPr>
    </w:p>
    <w:p w:rsidR="00262B59" w:rsidRPr="001C5C71" w:rsidRDefault="00262B59" w:rsidP="00ED7000">
      <w:pPr>
        <w:spacing w:line="360" w:lineRule="auto"/>
        <w:jc w:val="both"/>
        <w:rPr>
          <w:rFonts w:cs="Times New Roman"/>
          <w:i/>
          <w:szCs w:val="24"/>
        </w:rPr>
      </w:pPr>
      <w:r w:rsidRPr="001C5C71">
        <w:rPr>
          <w:rFonts w:cs="Times New Roman"/>
          <w:i/>
          <w:szCs w:val="24"/>
        </w:rPr>
        <w:t xml:space="preserve">Diabetes mellitus is a chronic disorder characterized by high blood sugar levels. </w:t>
      </w:r>
      <w:r w:rsidRPr="001C5C71">
        <w:rPr>
          <w:rStyle w:val="alt-edited"/>
          <w:rFonts w:cs="Times New Roman"/>
          <w:i/>
          <w:szCs w:val="24"/>
        </w:rPr>
        <w:t xml:space="preserve">Increased blood sugar levels caused </w:t>
      </w:r>
      <w:r w:rsidRPr="001C5C71">
        <w:rPr>
          <w:rFonts w:cs="Times New Roman"/>
          <w:i/>
          <w:szCs w:val="24"/>
        </w:rPr>
        <w:t xml:space="preserve">by various factors </w:t>
      </w:r>
      <w:r w:rsidRPr="001C5C71">
        <w:rPr>
          <w:rStyle w:val="alt-edited"/>
          <w:rFonts w:cs="Times New Roman"/>
          <w:i/>
          <w:szCs w:val="24"/>
        </w:rPr>
        <w:t>one of them is</w:t>
      </w:r>
      <w:r w:rsidRPr="001C5C71">
        <w:rPr>
          <w:rFonts w:cs="Times New Roman"/>
          <w:i/>
          <w:szCs w:val="24"/>
        </w:rPr>
        <w:t xml:space="preserve"> the activity of α-glucosidase enzyme. </w:t>
      </w:r>
      <w:r w:rsidRPr="001C5C71">
        <w:rPr>
          <w:rFonts w:cs="Times New Roman"/>
          <w:i/>
          <w:iCs/>
          <w:szCs w:val="24"/>
        </w:rPr>
        <w:t xml:space="preserve">This research it aimed to determine the ability of </w:t>
      </w:r>
      <w:r w:rsidRPr="001C5C71">
        <w:rPr>
          <w:rFonts w:cs="Times New Roman"/>
          <w:i/>
          <w:szCs w:val="24"/>
        </w:rPr>
        <w:t xml:space="preserve">ethanol extract of rhizome of </w:t>
      </w:r>
      <w:r w:rsidRPr="001C5C71">
        <w:rPr>
          <w:rFonts w:cs="Times New Roman"/>
          <w:szCs w:val="24"/>
        </w:rPr>
        <w:t>Zingiber amaricans</w:t>
      </w:r>
      <w:r w:rsidRPr="001C5C71">
        <w:rPr>
          <w:rFonts w:cs="Times New Roman"/>
          <w:i/>
          <w:szCs w:val="24"/>
        </w:rPr>
        <w:t xml:space="preserve"> in inhibiting α-glucosidase enzyme activity and calculating the IC</w:t>
      </w:r>
      <w:r w:rsidRPr="001C5C71">
        <w:rPr>
          <w:rFonts w:cs="Times New Roman"/>
          <w:i/>
          <w:szCs w:val="24"/>
          <w:vertAlign w:val="subscript"/>
        </w:rPr>
        <w:t>50</w:t>
      </w:r>
      <w:r w:rsidRPr="001C5C71">
        <w:rPr>
          <w:rFonts w:cs="Times New Roman"/>
          <w:i/>
          <w:szCs w:val="24"/>
        </w:rPr>
        <w:t xml:space="preserve"> value and to determine the inhibitor type in vitro. </w:t>
      </w:r>
      <w:r w:rsidRPr="001C5C71">
        <w:rPr>
          <w:rStyle w:val="alt-edited"/>
          <w:rFonts w:cs="Times New Roman"/>
          <w:i/>
          <w:szCs w:val="24"/>
        </w:rPr>
        <w:t xml:space="preserve">This research was conducted using enzyme α-glucosidase with a concentration of 0,05 U/mL and the substrate p-nitrophenyl α-d-glucopyranoside with a concentration of 5 mM.. The series concentration of the sample used were 25, 50, 100, 200, and 400 </w:t>
      </w:r>
      <w:r w:rsidRPr="001C5C71">
        <w:rPr>
          <w:rFonts w:cs="Times New Roman"/>
          <w:i/>
          <w:szCs w:val="24"/>
          <w:lang w:eastAsia="id-ID"/>
        </w:rPr>
        <w:t>µg/mL</w:t>
      </w:r>
      <w:r w:rsidRPr="001C5C71">
        <w:rPr>
          <w:rStyle w:val="alt-edited"/>
          <w:rFonts w:cs="Times New Roman"/>
          <w:i/>
          <w:szCs w:val="24"/>
        </w:rPr>
        <w:t xml:space="preserve">. Test of enzyme inhibition kinetics of α-glucosidase by the ethanol extract of rhizome of </w:t>
      </w:r>
      <w:r w:rsidRPr="001C5C71">
        <w:rPr>
          <w:rStyle w:val="alt-edited"/>
          <w:rFonts w:cs="Times New Roman"/>
          <w:szCs w:val="24"/>
        </w:rPr>
        <w:t>Zingiber amaricans</w:t>
      </w:r>
      <w:r w:rsidRPr="001C5C71">
        <w:rPr>
          <w:rStyle w:val="alt-edited"/>
          <w:rFonts w:cs="Times New Roman"/>
          <w:i/>
          <w:szCs w:val="24"/>
        </w:rPr>
        <w:t xml:space="preserve"> performed with concentrations approaching IC</w:t>
      </w:r>
      <w:r w:rsidRPr="001C5C71">
        <w:rPr>
          <w:rStyle w:val="alt-edited"/>
          <w:rFonts w:cs="Times New Roman"/>
          <w:i/>
          <w:szCs w:val="24"/>
          <w:vertAlign w:val="subscript"/>
        </w:rPr>
        <w:t>50</w:t>
      </w:r>
      <w:r w:rsidRPr="001C5C71">
        <w:rPr>
          <w:rStyle w:val="alt-edited"/>
          <w:rFonts w:cs="Times New Roman"/>
          <w:i/>
          <w:szCs w:val="24"/>
        </w:rPr>
        <w:t xml:space="preserve"> value that was equal to 200 µg/mL. </w:t>
      </w:r>
      <w:r w:rsidRPr="001C5C71">
        <w:rPr>
          <w:rFonts w:cs="Times New Roman"/>
          <w:i/>
          <w:szCs w:val="24"/>
        </w:rPr>
        <w:t xml:space="preserve">The ethanol extract of rhizome of </w:t>
      </w:r>
      <w:r w:rsidRPr="001C5C71">
        <w:rPr>
          <w:rFonts w:cs="Times New Roman"/>
          <w:szCs w:val="24"/>
        </w:rPr>
        <w:t>Zingiber amaricans</w:t>
      </w:r>
      <w:r w:rsidRPr="001C5C71">
        <w:rPr>
          <w:rStyle w:val="alt-edited"/>
          <w:rFonts w:cs="Times New Roman"/>
          <w:i/>
          <w:szCs w:val="24"/>
        </w:rPr>
        <w:t>is able to inhi</w:t>
      </w:r>
      <w:bookmarkStart w:id="0" w:name="_GoBack"/>
      <w:bookmarkEnd w:id="0"/>
      <w:r w:rsidRPr="001C5C71">
        <w:rPr>
          <w:rStyle w:val="alt-edited"/>
          <w:rFonts w:cs="Times New Roman"/>
          <w:i/>
          <w:szCs w:val="24"/>
        </w:rPr>
        <w:t>bit</w:t>
      </w:r>
      <w:r w:rsidRPr="001C5C71">
        <w:rPr>
          <w:rFonts w:cs="Times New Roman"/>
          <w:i/>
          <w:szCs w:val="24"/>
        </w:rPr>
        <w:t xml:space="preserve"> α-glucosidase enzyme activity with IC</w:t>
      </w:r>
      <w:r w:rsidRPr="001C5C71">
        <w:rPr>
          <w:rFonts w:cs="Times New Roman"/>
          <w:i/>
          <w:szCs w:val="24"/>
          <w:vertAlign w:val="subscript"/>
        </w:rPr>
        <w:t>50</w:t>
      </w:r>
      <w:r w:rsidRPr="001C5C71">
        <w:rPr>
          <w:rFonts w:cs="Times New Roman"/>
          <w:i/>
          <w:szCs w:val="24"/>
        </w:rPr>
        <w:t xml:space="preserve"> value </w:t>
      </w:r>
      <w:r w:rsidRPr="001C5C71">
        <w:rPr>
          <w:rStyle w:val="alt-edited"/>
          <w:rFonts w:cs="Times New Roman"/>
          <w:i/>
          <w:szCs w:val="24"/>
        </w:rPr>
        <w:t>of</w:t>
      </w:r>
      <w:r w:rsidRPr="001C5C71">
        <w:rPr>
          <w:rFonts w:cs="Times New Roman"/>
          <w:i/>
          <w:szCs w:val="24"/>
        </w:rPr>
        <w:t xml:space="preserve"> </w:t>
      </w:r>
      <w:r w:rsidR="002311D8">
        <w:rPr>
          <w:rFonts w:cs="Times New Roman"/>
          <w:szCs w:val="24"/>
          <w:lang w:eastAsia="id-ID"/>
        </w:rPr>
        <w:t>1</w:t>
      </w:r>
      <w:r w:rsidR="002311D8" w:rsidRPr="002311D8">
        <w:rPr>
          <w:rFonts w:cs="Times New Roman"/>
          <w:i/>
          <w:szCs w:val="24"/>
          <w:lang w:eastAsia="id-ID"/>
        </w:rPr>
        <w:t>6</w:t>
      </w:r>
      <w:r w:rsidR="002311D8" w:rsidRPr="002311D8">
        <w:rPr>
          <w:rFonts w:cs="Times New Roman"/>
          <w:i/>
          <w:szCs w:val="24"/>
          <w:lang w:val="en-US" w:eastAsia="id-ID"/>
        </w:rPr>
        <w:t>6,933</w:t>
      </w:r>
      <w:r w:rsidR="002311D8" w:rsidRPr="002311D8">
        <w:rPr>
          <w:rFonts w:cs="Times New Roman"/>
          <w:i/>
          <w:szCs w:val="24"/>
          <w:lang w:eastAsia="id-ID"/>
        </w:rPr>
        <w:t>±1</w:t>
      </w:r>
      <w:r w:rsidR="002311D8" w:rsidRPr="002311D8">
        <w:rPr>
          <w:rFonts w:cs="Times New Roman"/>
          <w:i/>
          <w:szCs w:val="24"/>
          <w:lang w:val="en-US" w:eastAsia="id-ID"/>
        </w:rPr>
        <w:t>3,894</w:t>
      </w:r>
      <w:r w:rsidR="002311D8" w:rsidRPr="001C5C71">
        <w:rPr>
          <w:rFonts w:cs="Times New Roman"/>
          <w:szCs w:val="24"/>
          <w:lang w:eastAsia="id-ID"/>
        </w:rPr>
        <w:t xml:space="preserve"> </w:t>
      </w:r>
      <w:r w:rsidRPr="001C5C71">
        <w:rPr>
          <w:rFonts w:cs="Times New Roman"/>
          <w:i/>
          <w:szCs w:val="24"/>
          <w:lang w:eastAsia="id-ID"/>
        </w:rPr>
        <w:t>µg/mL</w:t>
      </w:r>
      <w:r w:rsidRPr="001C5C71">
        <w:rPr>
          <w:rFonts w:cs="Times New Roman"/>
          <w:i/>
          <w:szCs w:val="24"/>
        </w:rPr>
        <w:t xml:space="preserve"> lower than acarbose </w:t>
      </w:r>
      <w:r w:rsidR="002311D8" w:rsidRPr="002311D8">
        <w:rPr>
          <w:rFonts w:cs="Times New Roman"/>
          <w:i/>
          <w:szCs w:val="24"/>
          <w:lang w:eastAsia="id-ID"/>
        </w:rPr>
        <w:t>2</w:t>
      </w:r>
      <w:r w:rsidR="002311D8" w:rsidRPr="002311D8">
        <w:rPr>
          <w:rFonts w:cs="Times New Roman"/>
          <w:i/>
          <w:szCs w:val="24"/>
          <w:lang w:val="en-US" w:eastAsia="id-ID"/>
        </w:rPr>
        <w:t>90,913</w:t>
      </w:r>
      <w:r w:rsidR="002311D8" w:rsidRPr="002311D8">
        <w:rPr>
          <w:rFonts w:cs="Times New Roman"/>
          <w:i/>
          <w:szCs w:val="24"/>
          <w:lang w:eastAsia="id-ID"/>
        </w:rPr>
        <w:t>±</w:t>
      </w:r>
      <w:r w:rsidR="002311D8" w:rsidRPr="002311D8">
        <w:rPr>
          <w:rFonts w:cs="Times New Roman"/>
          <w:i/>
          <w:szCs w:val="24"/>
          <w:lang w:val="en-US" w:eastAsia="id-ID"/>
        </w:rPr>
        <w:t>34,374</w:t>
      </w:r>
      <w:r w:rsidR="002311D8" w:rsidRPr="001C5C71">
        <w:rPr>
          <w:rFonts w:cs="Times New Roman"/>
          <w:szCs w:val="24"/>
          <w:lang w:eastAsia="id-ID"/>
        </w:rPr>
        <w:t xml:space="preserve"> </w:t>
      </w:r>
      <w:r w:rsidRPr="001C5C71">
        <w:rPr>
          <w:rFonts w:cs="Times New Roman"/>
          <w:i/>
          <w:szCs w:val="24"/>
          <w:lang w:eastAsia="id-ID"/>
        </w:rPr>
        <w:t>µg/mL</w:t>
      </w:r>
      <w:r w:rsidRPr="001C5C71">
        <w:rPr>
          <w:rFonts w:cs="Times New Roman"/>
          <w:i/>
          <w:szCs w:val="24"/>
        </w:rPr>
        <w:t xml:space="preserve">. Based on the kinetics data, the rhizome of </w:t>
      </w:r>
      <w:r w:rsidRPr="001C5C71">
        <w:rPr>
          <w:rFonts w:cs="Times New Roman"/>
          <w:szCs w:val="24"/>
        </w:rPr>
        <w:t>Zingiber amaricans</w:t>
      </w:r>
      <w:r w:rsidRPr="001C5C71">
        <w:rPr>
          <w:rFonts w:cs="Times New Roman"/>
          <w:i/>
          <w:szCs w:val="24"/>
        </w:rPr>
        <w:t xml:space="preserve"> ethanol extract work as a noncompetitive inhibitor to inhibit the enzyme activity of α-glucosidase.</w:t>
      </w:r>
    </w:p>
    <w:p w:rsidR="00262B59" w:rsidRPr="001C5C71" w:rsidRDefault="00262B59" w:rsidP="00ED7000">
      <w:pPr>
        <w:spacing w:after="0" w:line="360" w:lineRule="auto"/>
        <w:jc w:val="both"/>
        <w:rPr>
          <w:rFonts w:cs="Times New Roman"/>
          <w:i/>
          <w:szCs w:val="24"/>
        </w:rPr>
      </w:pPr>
      <w:r w:rsidRPr="001C5C71">
        <w:rPr>
          <w:rFonts w:cs="Times New Roman"/>
          <w:i/>
          <w:szCs w:val="24"/>
        </w:rPr>
        <w:t xml:space="preserve">Keywords: </w:t>
      </w:r>
      <w:r w:rsidRPr="001C5C71">
        <w:rPr>
          <w:rFonts w:cs="Times New Roman"/>
          <w:szCs w:val="24"/>
        </w:rPr>
        <w:t>Zingiber amaricans</w:t>
      </w:r>
      <w:r w:rsidRPr="001C5C71">
        <w:rPr>
          <w:rFonts w:cs="Times New Roman"/>
          <w:i/>
          <w:szCs w:val="24"/>
        </w:rPr>
        <w:t>,  α-glucosidase, diabetes mellitus.</w:t>
      </w:r>
    </w:p>
    <w:p w:rsidR="00207539" w:rsidRPr="001C5C71" w:rsidRDefault="00207539" w:rsidP="00ED7000">
      <w:pPr>
        <w:spacing w:after="0" w:line="360" w:lineRule="auto"/>
        <w:jc w:val="center"/>
        <w:rPr>
          <w:rFonts w:cs="Times New Roman"/>
          <w:i/>
          <w:szCs w:val="24"/>
          <w:lang w:val="en-US"/>
        </w:rPr>
      </w:pPr>
    </w:p>
    <w:p w:rsidR="00ED7000" w:rsidRPr="001C5C71" w:rsidRDefault="00ED7000" w:rsidP="00ED7000">
      <w:pPr>
        <w:spacing w:after="0" w:line="360" w:lineRule="auto"/>
        <w:jc w:val="center"/>
        <w:rPr>
          <w:rFonts w:cs="Times New Roman"/>
          <w:i/>
          <w:szCs w:val="24"/>
          <w:lang w:val="en-US"/>
        </w:rPr>
      </w:pPr>
    </w:p>
    <w:p w:rsidR="00207539" w:rsidRPr="001C5C71" w:rsidRDefault="00207539" w:rsidP="00ED7000">
      <w:pPr>
        <w:spacing w:after="0" w:line="360" w:lineRule="auto"/>
        <w:jc w:val="center"/>
        <w:rPr>
          <w:rFonts w:cs="Times New Roman"/>
          <w:szCs w:val="24"/>
        </w:rPr>
      </w:pPr>
      <w:r w:rsidRPr="001C5C71">
        <w:rPr>
          <w:rFonts w:cs="Times New Roman"/>
          <w:szCs w:val="24"/>
        </w:rPr>
        <w:lastRenderedPageBreak/>
        <w:t>Abstrak</w:t>
      </w:r>
    </w:p>
    <w:p w:rsidR="0044474C" w:rsidRPr="001C5C71" w:rsidRDefault="0044474C" w:rsidP="00ED7000">
      <w:pPr>
        <w:spacing w:after="0" w:line="360" w:lineRule="auto"/>
        <w:jc w:val="both"/>
        <w:rPr>
          <w:rFonts w:cs="Times New Roman"/>
          <w:szCs w:val="24"/>
        </w:rPr>
      </w:pPr>
    </w:p>
    <w:p w:rsidR="00262B59" w:rsidRPr="001C5C71" w:rsidRDefault="00262B59" w:rsidP="00ED7000">
      <w:pPr>
        <w:spacing w:line="360" w:lineRule="auto"/>
        <w:jc w:val="both"/>
        <w:rPr>
          <w:rFonts w:cs="Times New Roman"/>
          <w:szCs w:val="24"/>
          <w:lang w:eastAsia="id-ID"/>
        </w:rPr>
      </w:pPr>
      <w:r w:rsidRPr="001C5C71">
        <w:rPr>
          <w:rFonts w:cs="Times New Roman"/>
          <w:szCs w:val="24"/>
        </w:rPr>
        <w:t>Diabetes melitus merupakan gangguan kronik yang ditandai dengan tingginya kadar gula darah</w:t>
      </w:r>
      <w:r w:rsidRPr="001C5C71">
        <w:rPr>
          <w:rFonts w:cs="Times New Roman"/>
          <w:szCs w:val="24"/>
          <w:lang w:eastAsia="id-ID"/>
        </w:rPr>
        <w:t xml:space="preserve">. Peningkatan kadar gula darah disebabkan oleh berbagai faktor salah satunya yaitu aktivitas enzim α-glukosidase. </w:t>
      </w:r>
      <w:r w:rsidRPr="001C5C71">
        <w:rPr>
          <w:rFonts w:cs="Times New Roman"/>
          <w:iCs/>
          <w:szCs w:val="24"/>
        </w:rPr>
        <w:t>P</w:t>
      </w:r>
      <w:r w:rsidRPr="001C5C71">
        <w:rPr>
          <w:rFonts w:cs="Times New Roman"/>
          <w:szCs w:val="24"/>
          <w:lang w:eastAsia="id-ID"/>
        </w:rPr>
        <w:t>enelitian ini bertujuan untuk mengetahui kemampuan ekstrak etanol rimpang lempuyang emprit dalam menghambat aktivitas enzim α-glukosidase dan menghitung nilai IC</w:t>
      </w:r>
      <w:r w:rsidRPr="001C5C71">
        <w:rPr>
          <w:rFonts w:cs="Times New Roman"/>
          <w:szCs w:val="24"/>
          <w:vertAlign w:val="subscript"/>
          <w:lang w:eastAsia="id-ID"/>
        </w:rPr>
        <w:t>50</w:t>
      </w:r>
      <w:r w:rsidRPr="001C5C71">
        <w:rPr>
          <w:rFonts w:cs="Times New Roman"/>
          <w:szCs w:val="24"/>
          <w:lang w:eastAsia="id-ID"/>
        </w:rPr>
        <w:t xml:space="preserve"> serta menentukan tipe inhibitor enzim secara </w:t>
      </w:r>
      <w:r w:rsidRPr="001C5C71">
        <w:rPr>
          <w:rFonts w:cs="Times New Roman"/>
          <w:i/>
          <w:szCs w:val="24"/>
          <w:lang w:eastAsia="id-ID"/>
        </w:rPr>
        <w:t>in vitro</w:t>
      </w:r>
      <w:r w:rsidRPr="001C5C71">
        <w:rPr>
          <w:rFonts w:cs="Times New Roman"/>
          <w:szCs w:val="24"/>
          <w:lang w:eastAsia="id-ID"/>
        </w:rPr>
        <w:t xml:space="preserve">. Penelitian ini dilakukan menggunakan enzim α-glukosidase dengan konsentrasi 0,05 U/mL dan substrat </w:t>
      </w:r>
      <w:r w:rsidRPr="001C5C71">
        <w:rPr>
          <w:rFonts w:cs="Times New Roman"/>
          <w:szCs w:val="24"/>
        </w:rPr>
        <w:t>p-nitrofenil α-d-glukopiranosida</w:t>
      </w:r>
      <w:r w:rsidRPr="001C5C71">
        <w:rPr>
          <w:rFonts w:cs="Times New Roman"/>
          <w:szCs w:val="24"/>
          <w:lang w:eastAsia="id-ID"/>
        </w:rPr>
        <w:t xml:space="preserve"> dengan konsentrasi 5 mM. Seri konsentrasi sampel ekstrak etanol rimpang lempuyang emprit dan akarbosa yang digunakan yaitu 25, 50, 100, 200, dan 400 µg/mL. Uji kinetika penghambatan enzim α-glukosidase oleh ekstrak etanol rimpang lempuyang emprit dilakukan dengan konsentrasi yang mendekati nilai IC</w:t>
      </w:r>
      <w:r w:rsidRPr="001C5C71">
        <w:rPr>
          <w:rFonts w:cs="Times New Roman"/>
          <w:szCs w:val="24"/>
          <w:vertAlign w:val="subscript"/>
          <w:lang w:eastAsia="id-ID"/>
        </w:rPr>
        <w:t xml:space="preserve">50 </w:t>
      </w:r>
      <w:r w:rsidRPr="001C5C71">
        <w:rPr>
          <w:rFonts w:cs="Times New Roman"/>
          <w:szCs w:val="24"/>
          <w:lang w:eastAsia="id-ID"/>
        </w:rPr>
        <w:t>yaitu sebesar 200 µg/mL. Ekstrak etanol rimpang lempuyang emprit mampu menghambat aktivitas enzim α-glukosidase dengan nilai IC</w:t>
      </w:r>
      <w:r w:rsidRPr="001C5C71">
        <w:rPr>
          <w:rFonts w:cs="Times New Roman"/>
          <w:szCs w:val="24"/>
          <w:vertAlign w:val="subscript"/>
          <w:lang w:eastAsia="id-ID"/>
        </w:rPr>
        <w:t>50</w:t>
      </w:r>
      <w:r w:rsidR="00341FBC">
        <w:rPr>
          <w:rFonts w:cs="Times New Roman"/>
          <w:szCs w:val="24"/>
          <w:lang w:eastAsia="id-ID"/>
        </w:rPr>
        <w:t xml:space="preserve"> sebesar 16</w:t>
      </w:r>
      <w:r w:rsidR="00341FBC">
        <w:rPr>
          <w:rFonts w:cs="Times New Roman"/>
          <w:szCs w:val="24"/>
          <w:lang w:val="en-US" w:eastAsia="id-ID"/>
        </w:rPr>
        <w:t>6,933</w:t>
      </w:r>
      <w:r w:rsidR="00341FBC">
        <w:rPr>
          <w:rFonts w:cs="Times New Roman"/>
          <w:szCs w:val="24"/>
          <w:lang w:eastAsia="id-ID"/>
        </w:rPr>
        <w:t>±1</w:t>
      </w:r>
      <w:r w:rsidR="00341FBC">
        <w:rPr>
          <w:rFonts w:cs="Times New Roman"/>
          <w:szCs w:val="24"/>
          <w:lang w:val="en-US" w:eastAsia="id-ID"/>
        </w:rPr>
        <w:t>3,894</w:t>
      </w:r>
      <w:r w:rsidRPr="001C5C71">
        <w:rPr>
          <w:rFonts w:cs="Times New Roman"/>
          <w:szCs w:val="24"/>
          <w:lang w:eastAsia="id-ID"/>
        </w:rPr>
        <w:t xml:space="preserve"> µg/mL lebih rendah dibanding akarbosa </w:t>
      </w:r>
      <w:r w:rsidR="00341FBC">
        <w:rPr>
          <w:rFonts w:cs="Times New Roman"/>
          <w:szCs w:val="24"/>
          <w:lang w:eastAsia="id-ID"/>
        </w:rPr>
        <w:t>2</w:t>
      </w:r>
      <w:r w:rsidR="00341FBC">
        <w:rPr>
          <w:rFonts w:cs="Times New Roman"/>
          <w:szCs w:val="24"/>
          <w:lang w:val="en-US" w:eastAsia="id-ID"/>
        </w:rPr>
        <w:t>90,913</w:t>
      </w:r>
      <w:r w:rsidR="00341FBC">
        <w:rPr>
          <w:rFonts w:cs="Times New Roman"/>
          <w:szCs w:val="24"/>
          <w:lang w:eastAsia="id-ID"/>
        </w:rPr>
        <w:t>±</w:t>
      </w:r>
      <w:r w:rsidR="00341FBC">
        <w:rPr>
          <w:rFonts w:cs="Times New Roman"/>
          <w:szCs w:val="24"/>
          <w:lang w:val="en-US" w:eastAsia="id-ID"/>
        </w:rPr>
        <w:t>34,374</w:t>
      </w:r>
      <w:r w:rsidRPr="001C5C71">
        <w:rPr>
          <w:rFonts w:cs="Times New Roman"/>
          <w:szCs w:val="24"/>
          <w:lang w:eastAsia="id-ID"/>
        </w:rPr>
        <w:t xml:space="preserve"> µg/mL. Bedasarkan data kinetika, ekstrak etanol rimpang lempuyang emprit bekerja sebagai inhibitor nonkompetitif dalam menghambat aktivitas enzim α-glukosidase.</w:t>
      </w:r>
    </w:p>
    <w:p w:rsidR="00262B59" w:rsidRPr="001C5C71" w:rsidRDefault="00262B59" w:rsidP="00ED7000">
      <w:pPr>
        <w:spacing w:line="360" w:lineRule="auto"/>
        <w:jc w:val="both"/>
        <w:rPr>
          <w:rFonts w:cs="Times New Roman"/>
          <w:szCs w:val="24"/>
          <w:lang w:eastAsia="id-ID"/>
        </w:rPr>
      </w:pPr>
      <w:r w:rsidRPr="001C5C71">
        <w:rPr>
          <w:rFonts w:cs="Times New Roman"/>
          <w:szCs w:val="24"/>
          <w:lang w:eastAsia="id-ID"/>
        </w:rPr>
        <w:t>Kata kunci: Lempuyang emprit,  α-glukosidase, diabetes melitus.</w:t>
      </w:r>
    </w:p>
    <w:p w:rsidR="00ED7000" w:rsidRPr="001C5C71" w:rsidRDefault="00ED7000" w:rsidP="00ED7000">
      <w:pPr>
        <w:spacing w:after="0" w:line="360" w:lineRule="auto"/>
        <w:jc w:val="both"/>
        <w:rPr>
          <w:rFonts w:cs="Times New Roman"/>
          <w:b/>
          <w:szCs w:val="24"/>
        </w:rPr>
        <w:sectPr w:rsidR="00ED7000" w:rsidRPr="001C5C71" w:rsidSect="00C7513D">
          <w:headerReference w:type="default" r:id="rId9"/>
          <w:footerReference w:type="default" r:id="rId10"/>
          <w:pgSz w:w="11906" w:h="16838"/>
          <w:pgMar w:top="2268" w:right="1701" w:bottom="1701" w:left="2268" w:header="709" w:footer="709" w:gutter="0"/>
          <w:cols w:space="708"/>
          <w:docGrid w:linePitch="360"/>
        </w:sectPr>
      </w:pPr>
    </w:p>
    <w:p w:rsidR="00207539" w:rsidRPr="001C5C71" w:rsidRDefault="00207539" w:rsidP="00ED7000">
      <w:pPr>
        <w:spacing w:after="0" w:line="360" w:lineRule="auto"/>
        <w:jc w:val="center"/>
        <w:rPr>
          <w:rFonts w:cs="Times New Roman"/>
          <w:b/>
          <w:szCs w:val="24"/>
        </w:rPr>
      </w:pPr>
      <w:r w:rsidRPr="001C5C71">
        <w:rPr>
          <w:rFonts w:cs="Times New Roman"/>
          <w:b/>
          <w:szCs w:val="24"/>
        </w:rPr>
        <w:lastRenderedPageBreak/>
        <w:t>PENDAHULUAN</w:t>
      </w:r>
    </w:p>
    <w:p w:rsidR="00262B59" w:rsidRPr="001C5C71" w:rsidRDefault="00262B59" w:rsidP="00ED7000">
      <w:pPr>
        <w:spacing w:after="0" w:line="360" w:lineRule="auto"/>
        <w:ind w:firstLine="284"/>
        <w:jc w:val="both"/>
        <w:rPr>
          <w:rFonts w:cs="Times New Roman"/>
          <w:szCs w:val="24"/>
          <w:lang w:eastAsia="id-ID"/>
        </w:rPr>
      </w:pPr>
      <w:r w:rsidRPr="001C5C71">
        <w:rPr>
          <w:rFonts w:cs="Times New Roman"/>
          <w:szCs w:val="24"/>
          <w:lang w:eastAsia="id-ID"/>
        </w:rPr>
        <w:t xml:space="preserve">Diabetes melitus merupakan gangguan kronik yang ditandai dengan peningkatan kadar gula darah yang disebabkan oleh kurangnya produksi insulin atau tubuh tidak merespon insulin dengan baik (International Diabetes Federation, 2015). Penderita diabetes melitus di dunia pada tahun 2014 sebanyak 382 </w:t>
      </w:r>
      <w:r w:rsidRPr="001C5C71">
        <w:rPr>
          <w:rFonts w:cs="Times New Roman"/>
          <w:szCs w:val="24"/>
          <w:lang w:eastAsia="id-ID"/>
        </w:rPr>
        <w:lastRenderedPageBreak/>
        <w:t xml:space="preserve">juta jiwa dan mengalami peningkatan menjadi 415 juta jiwa pada tahun 2015. Indonesia merupakan salah satu negara yang menempati posisi ketujuh terbesar di dunia dengan jumlah penderita sebanyak 9,1 juta jiwa pada tahun 2014 dan mengalami peningkatan menjadi 10 juta jiwa pada tahun 2015. Penderita diabetes melitus di Indonesia diperkirakan </w:t>
      </w:r>
      <w:r w:rsidRPr="001C5C71">
        <w:rPr>
          <w:rFonts w:cs="Times New Roman"/>
          <w:szCs w:val="24"/>
          <w:lang w:eastAsia="id-ID"/>
        </w:rPr>
        <w:lastRenderedPageBreak/>
        <w:t>akan terus meningkat hingga mencapai 16,2 juta jiwa pada tahun 2040 (International Diabetes Federation, 2014; International Diabetes Federation, 2015).</w:t>
      </w:r>
    </w:p>
    <w:p w:rsidR="00262B59" w:rsidRPr="001C5C71" w:rsidRDefault="00262B59" w:rsidP="00ED7000">
      <w:pPr>
        <w:spacing w:after="0" w:line="360" w:lineRule="auto"/>
        <w:ind w:firstLine="284"/>
        <w:jc w:val="both"/>
        <w:rPr>
          <w:rFonts w:cs="Times New Roman"/>
          <w:szCs w:val="24"/>
          <w:lang w:eastAsia="id-ID"/>
        </w:rPr>
      </w:pPr>
      <w:r w:rsidRPr="001C5C71">
        <w:rPr>
          <w:rFonts w:cs="Times New Roman"/>
          <w:szCs w:val="24"/>
          <w:lang w:eastAsia="id-ID"/>
        </w:rPr>
        <w:t xml:space="preserve">Risiko kematian yang diakibatkan oleh penyakit diabetes melitus dapat dikurangi dengan cara mengontrol kadar gula dalam darah yang bertujuan untuk mencegah berbagai komplikasi. Penggunaan tanaman obat sebagai terapi diabetes merupakan salah satu pilihan alternatif, karena tanaman obat memiliki berbagai kelebihan, antara lain yaitu memiliki toksisitas rendah, relatif terjangkau, dan ketersediaan di alam yang melimpah (Srividya et al., 2011). Lempuyang emprit (Zingiber amaricans Bl) merupakan salah satu tanaman obat yang dapat dimanfaatkan di bidang pengobatan (Karima, 2007). </w:t>
      </w:r>
    </w:p>
    <w:p w:rsidR="00262B59" w:rsidRPr="001C5C71" w:rsidRDefault="00262B59" w:rsidP="00ED7000">
      <w:pPr>
        <w:spacing w:after="0" w:line="360" w:lineRule="auto"/>
        <w:ind w:firstLine="284"/>
        <w:jc w:val="both"/>
        <w:rPr>
          <w:rFonts w:cs="Times New Roman"/>
          <w:szCs w:val="24"/>
          <w:lang w:eastAsia="id-ID"/>
        </w:rPr>
      </w:pPr>
      <w:r w:rsidRPr="001C5C71">
        <w:rPr>
          <w:rFonts w:cs="Times New Roman"/>
          <w:szCs w:val="24"/>
          <w:lang w:eastAsia="id-ID"/>
        </w:rPr>
        <w:t xml:space="preserve">Wahyuni and Bermawie (2010) menyatakan ekstrak rimpang lempuyang emprit yang diuji dengan GC-MS mengandung komponen utama, yaitu: asam asetat, humulen oksida, α-humulen, beta-eudesmol, 12-oksabisiklo, linalool, beta-selin, serta zerumbon yang merupakan </w:t>
      </w:r>
      <w:r w:rsidRPr="001C5C71">
        <w:rPr>
          <w:rFonts w:cs="Times New Roman"/>
          <w:szCs w:val="24"/>
          <w:lang w:eastAsia="id-ID"/>
        </w:rPr>
        <w:lastRenderedPageBreak/>
        <w:t xml:space="preserve">kandungan paling tinggi yaitu sebesar 36–49%. Menurut Sakika et al. (2014) secara in vivo terjadi penurunan kadar gula darah pada tikus diabetes setelah diberi 0,4 g/kgBB ekstrak etanol rimpang lempuyang emprit dengan kadar gula darah sebesar 264,5±18,86 mg/dL turun menjadi 105±44,06 mg/dL. </w:t>
      </w:r>
    </w:p>
    <w:p w:rsidR="00262B59" w:rsidRPr="001C5C71" w:rsidRDefault="00262B59" w:rsidP="00ED7000">
      <w:pPr>
        <w:spacing w:after="0" w:line="360" w:lineRule="auto"/>
        <w:ind w:firstLine="284"/>
        <w:jc w:val="both"/>
        <w:rPr>
          <w:rFonts w:cs="Times New Roman"/>
          <w:szCs w:val="24"/>
          <w:lang w:eastAsia="id-ID"/>
        </w:rPr>
      </w:pPr>
      <w:r w:rsidRPr="001C5C71">
        <w:rPr>
          <w:rFonts w:cs="Times New Roman"/>
          <w:szCs w:val="24"/>
          <w:lang w:eastAsia="id-ID"/>
        </w:rPr>
        <w:t>Zerumbon (2,6,9-humulatrien-8-satu) merupakan konstituen utama dari lempuyang emprit dan konstituen kecil adalah campuran fitosterol yang terdiri dari β-sitosterol, kolesterol, kampesterol, dan stigmasterol (Riyanto, 2007). Tanaman lempuyang emprit dan lempuyang gajah termasuk famili Zingiberaceae yang sama-sama mengandung senyawa zerumbon. Menurut Ajish et al. (2014) senyawa zerumbon dan α-humulen yang terkandung dalam ekstrak rimpang lempuyang gajah (Zingiber zerumbet Smith) mampu menghambat aktivitas enzim α-glukosidase yang diujikan secara in vitro dengan nilai IC50  masing–masing sebesar 95,7±1,04 µM dan 197,2±0,06 µM.</w:t>
      </w:r>
    </w:p>
    <w:p w:rsidR="00262B59" w:rsidRPr="001C5C71" w:rsidRDefault="00262B59" w:rsidP="00ED7000">
      <w:pPr>
        <w:spacing w:line="360" w:lineRule="auto"/>
        <w:ind w:firstLine="284"/>
        <w:jc w:val="both"/>
        <w:rPr>
          <w:rFonts w:cs="Times New Roman"/>
          <w:szCs w:val="24"/>
          <w:lang w:eastAsia="id-ID"/>
        </w:rPr>
      </w:pPr>
      <w:r w:rsidRPr="001C5C71">
        <w:rPr>
          <w:rFonts w:cs="Times New Roman"/>
          <w:szCs w:val="24"/>
          <w:lang w:eastAsia="id-ID"/>
        </w:rPr>
        <w:t xml:space="preserve">Enzim α-amilase dan α-glukosidase adalah dua enzim utama </w:t>
      </w:r>
      <w:r w:rsidRPr="001C5C71">
        <w:rPr>
          <w:rFonts w:cs="Times New Roman"/>
          <w:szCs w:val="24"/>
          <w:lang w:eastAsia="id-ID"/>
        </w:rPr>
        <w:lastRenderedPageBreak/>
        <w:t xml:space="preserve">yang memegang peranan penting dalam proses pencernaan karbohidrat oleh hidrolisis α-1, 4-glukosida dari karbohidrat, polisakarida lain, dan penyerapan glukosa oleh enzim α-glukosidase yang terjadi di usus. Salah satu strategi yang efektif untuk pengelolaan diabetes adalah memperlambat laju pencernaan karbohidrat dengan menghambat enzim tersebut untuk mengurangi terjadinya hiperglikemia postprandial (Unnikrishnan et al., 2014). </w:t>
      </w:r>
    </w:p>
    <w:p w:rsidR="004E3A98" w:rsidRPr="001C5C71" w:rsidRDefault="004F143F" w:rsidP="001C5C71">
      <w:pPr>
        <w:spacing w:after="0" w:line="360" w:lineRule="auto"/>
        <w:jc w:val="center"/>
        <w:rPr>
          <w:rFonts w:cs="Times New Roman"/>
          <w:b/>
          <w:szCs w:val="24"/>
        </w:rPr>
      </w:pPr>
      <w:r w:rsidRPr="001C5C71">
        <w:rPr>
          <w:rFonts w:cs="Times New Roman"/>
          <w:b/>
          <w:szCs w:val="24"/>
        </w:rPr>
        <w:t>METODE</w:t>
      </w:r>
    </w:p>
    <w:p w:rsidR="008B5D5D" w:rsidRPr="001C5C71" w:rsidRDefault="008B5D5D" w:rsidP="00ED7000">
      <w:pPr>
        <w:spacing w:after="0" w:line="360" w:lineRule="auto"/>
        <w:jc w:val="both"/>
        <w:rPr>
          <w:rFonts w:cs="Times New Roman"/>
          <w:b/>
          <w:szCs w:val="24"/>
        </w:rPr>
      </w:pPr>
      <w:r w:rsidRPr="001C5C71">
        <w:rPr>
          <w:rFonts w:cs="Times New Roman"/>
          <w:b/>
          <w:szCs w:val="24"/>
          <w:lang w:eastAsia="id-ID"/>
        </w:rPr>
        <w:t>Pembuatan Kurva Baku p-nitrofenol</w:t>
      </w:r>
    </w:p>
    <w:p w:rsidR="008B5D5D" w:rsidRPr="001C5C71" w:rsidRDefault="008B5D5D" w:rsidP="00ED7000">
      <w:pPr>
        <w:pStyle w:val="ListParagraph"/>
        <w:spacing w:line="360" w:lineRule="auto"/>
        <w:ind w:left="0" w:firstLine="284"/>
        <w:jc w:val="both"/>
        <w:rPr>
          <w:rFonts w:ascii="Times New Roman" w:hAnsi="Times New Roman" w:cs="Times New Roman"/>
          <w:szCs w:val="24"/>
          <w:lang w:val="id-ID" w:eastAsia="id-ID"/>
        </w:rPr>
      </w:pPr>
      <w:r w:rsidRPr="001C5C71">
        <w:rPr>
          <w:rFonts w:ascii="Times New Roman" w:hAnsi="Times New Roman" w:cs="Times New Roman"/>
          <w:szCs w:val="24"/>
          <w:lang w:val="id-ID" w:eastAsia="id-ID"/>
        </w:rPr>
        <w:t xml:space="preserve">Kurva baku p-nitrofenol dibuat dengan cara melarutkan sebanyak 13,90 mg p-nitrofenol dengan dapar fosfat pH 6,8 sampai volume akhir 10 mL sebagai larutan stok dengan konsentrasi 10 mM. Larutan stok diencerkan menggunakan dapar fosfat pH 6,8 menjadi konsentrasi 0, 15, 30, 45, 60, dan 90 µM kemudian dibaca absorbansinya menggunakan </w:t>
      </w:r>
      <w:r w:rsidRPr="001C5C71">
        <w:rPr>
          <w:rFonts w:ascii="Times New Roman" w:hAnsi="Times New Roman" w:cs="Times New Roman"/>
          <w:i/>
          <w:szCs w:val="24"/>
          <w:lang w:val="id-ID" w:eastAsia="id-ID"/>
        </w:rPr>
        <w:t xml:space="preserve">microplate reader </w:t>
      </w:r>
      <w:r w:rsidRPr="001C5C71">
        <w:rPr>
          <w:rFonts w:ascii="Times New Roman" w:hAnsi="Times New Roman" w:cs="Times New Roman"/>
          <w:szCs w:val="24"/>
          <w:lang w:val="id-ID" w:eastAsia="id-ID"/>
        </w:rPr>
        <w:t>pada panjang gelombang 405 nm.</w:t>
      </w:r>
    </w:p>
    <w:p w:rsidR="008B5D5D" w:rsidRPr="001C5C71" w:rsidRDefault="008B5D5D" w:rsidP="00ED7000">
      <w:pPr>
        <w:pStyle w:val="ListParagraph"/>
        <w:spacing w:after="0" w:line="360" w:lineRule="auto"/>
        <w:ind w:left="0"/>
        <w:jc w:val="both"/>
        <w:rPr>
          <w:rFonts w:ascii="Times New Roman" w:hAnsi="Times New Roman" w:cs="Times New Roman"/>
          <w:b/>
          <w:szCs w:val="24"/>
          <w:lang w:val="id-ID" w:eastAsia="id-ID"/>
        </w:rPr>
      </w:pPr>
      <w:r w:rsidRPr="001C5C71">
        <w:rPr>
          <w:rFonts w:ascii="Times New Roman" w:hAnsi="Times New Roman" w:cs="Times New Roman"/>
          <w:b/>
          <w:szCs w:val="24"/>
          <w:lang w:val="id-ID" w:eastAsia="id-ID"/>
        </w:rPr>
        <w:t>Pengujian Aktivitas Enzim α-glukosidase</w:t>
      </w:r>
    </w:p>
    <w:p w:rsidR="008B5D5D" w:rsidRPr="001C5C71" w:rsidRDefault="008B5D5D" w:rsidP="00ED7000">
      <w:pPr>
        <w:spacing w:after="0" w:line="360" w:lineRule="auto"/>
        <w:ind w:firstLine="284"/>
        <w:contextualSpacing/>
        <w:jc w:val="both"/>
        <w:rPr>
          <w:rFonts w:cs="Times New Roman"/>
          <w:bCs/>
          <w:szCs w:val="24"/>
        </w:rPr>
      </w:pPr>
      <w:r w:rsidRPr="001C5C71">
        <w:rPr>
          <w:rFonts w:cs="Times New Roman"/>
          <w:bCs/>
          <w:szCs w:val="24"/>
        </w:rPr>
        <w:lastRenderedPageBreak/>
        <w:t xml:space="preserve">Menurut Sugiwati </w:t>
      </w:r>
      <w:r w:rsidRPr="001C5C71">
        <w:rPr>
          <w:rFonts w:cs="Times New Roman"/>
          <w:bCs/>
          <w:i/>
          <w:szCs w:val="24"/>
        </w:rPr>
        <w:t>et al</w:t>
      </w:r>
      <w:r w:rsidRPr="001C5C71">
        <w:rPr>
          <w:rFonts w:cs="Times New Roman"/>
          <w:bCs/>
          <w:szCs w:val="24"/>
        </w:rPr>
        <w:t>.(2009) pengujian aktivitas enzim α-glukosidase dilakukan dengan cara mengambil sebanyak 1</w:t>
      </w:r>
      <w:r w:rsidRPr="001C5C71">
        <w:rPr>
          <w:rFonts w:cs="Times New Roman"/>
          <w:color w:val="000000"/>
          <w:szCs w:val="24"/>
        </w:rPr>
        <w:t>µL</w:t>
      </w:r>
      <w:r w:rsidRPr="001C5C71">
        <w:rPr>
          <w:rFonts w:cs="Times New Roman"/>
          <w:bCs/>
          <w:szCs w:val="24"/>
        </w:rPr>
        <w:t xml:space="preserve"> larutan sampel (akarbosa atau ekstrak) dari berbagai seri konsentrasi ditambah 49</w:t>
      </w:r>
      <w:r w:rsidRPr="001C5C71">
        <w:rPr>
          <w:rFonts w:cs="Times New Roman"/>
          <w:color w:val="000000"/>
          <w:szCs w:val="24"/>
        </w:rPr>
        <w:t>µL</w:t>
      </w:r>
      <w:r w:rsidRPr="001C5C71">
        <w:rPr>
          <w:rFonts w:cs="Times New Roman"/>
          <w:bCs/>
          <w:szCs w:val="24"/>
        </w:rPr>
        <w:t xml:space="preserve"> bufer fosfat pH 6,8 dan 25</w:t>
      </w:r>
      <w:r w:rsidRPr="001C5C71">
        <w:rPr>
          <w:rFonts w:cs="Times New Roman"/>
          <w:color w:val="000000"/>
          <w:szCs w:val="24"/>
        </w:rPr>
        <w:t xml:space="preserve">µL substrat </w:t>
      </w:r>
      <w:r w:rsidRPr="001C5C71">
        <w:rPr>
          <w:rFonts w:cs="Times New Roman"/>
          <w:bCs/>
          <w:szCs w:val="24"/>
        </w:rPr>
        <w:t>p-nitrofenil-α-d-glukopiranosida (pNPG), diinkubasi pada suhu 37</w:t>
      </w:r>
      <w:r w:rsidRPr="001C5C71">
        <w:rPr>
          <w:rFonts w:cs="Times New Roman"/>
          <w:bCs/>
          <w:szCs w:val="24"/>
          <w:vertAlign w:val="superscript"/>
        </w:rPr>
        <w:t>o</w:t>
      </w:r>
      <w:r w:rsidRPr="001C5C71">
        <w:rPr>
          <w:rFonts w:cs="Times New Roman"/>
          <w:bCs/>
          <w:szCs w:val="24"/>
        </w:rPr>
        <w:t>C selama 5 menit, ditambahkan larutan enzim α-glukosidase dengan konsentrasi 0,05 unit/mL dan diinkubasi kembali pada suhu 37</w:t>
      </w:r>
      <w:r w:rsidRPr="001C5C71">
        <w:rPr>
          <w:rFonts w:cs="Times New Roman"/>
          <w:bCs/>
          <w:szCs w:val="24"/>
          <w:vertAlign w:val="superscript"/>
        </w:rPr>
        <w:t>o</w:t>
      </w:r>
      <w:r w:rsidRPr="001C5C71">
        <w:rPr>
          <w:rFonts w:cs="Times New Roman"/>
          <w:bCs/>
          <w:szCs w:val="24"/>
        </w:rPr>
        <w:t>C selama 15 menit. Hasil inkubasi ditambahkan 100</w:t>
      </w:r>
      <w:r w:rsidRPr="001C5C71">
        <w:rPr>
          <w:rFonts w:cs="Times New Roman"/>
          <w:color w:val="000000"/>
          <w:szCs w:val="24"/>
        </w:rPr>
        <w:t>µL larutan natrium karbonat 200 mM hingga volume akhir setiap sumuran 200µL dan absorbansi dibaca pada panjang gelombang 405nm.</w:t>
      </w:r>
    </w:p>
    <w:p w:rsidR="008B5D5D" w:rsidRPr="001C5C71" w:rsidRDefault="008B5D5D" w:rsidP="00ED7000">
      <w:pPr>
        <w:pStyle w:val="ListParagraph"/>
        <w:spacing w:after="0" w:line="360" w:lineRule="auto"/>
        <w:ind w:left="0"/>
        <w:jc w:val="both"/>
        <w:rPr>
          <w:rFonts w:ascii="Times New Roman" w:hAnsi="Times New Roman" w:cs="Times New Roman"/>
          <w:b/>
          <w:szCs w:val="24"/>
          <w:lang w:val="id-ID"/>
        </w:rPr>
      </w:pPr>
      <w:r w:rsidRPr="001C5C71">
        <w:rPr>
          <w:rFonts w:ascii="Times New Roman" w:hAnsi="Times New Roman" w:cs="Times New Roman"/>
          <w:b/>
          <w:color w:val="000000"/>
          <w:szCs w:val="24"/>
          <w:lang w:val="id-ID"/>
        </w:rPr>
        <w:t>Pengujian Kinetika Inhibisi</w:t>
      </w:r>
      <w:r w:rsidRPr="001C5C71">
        <w:rPr>
          <w:rFonts w:ascii="Times New Roman" w:hAnsi="Times New Roman" w:cs="Times New Roman"/>
          <w:b/>
          <w:szCs w:val="24"/>
          <w:lang w:val="id-ID"/>
        </w:rPr>
        <w:t xml:space="preserve">Enzim </w:t>
      </w:r>
      <w:r w:rsidRPr="001C5C71">
        <w:rPr>
          <w:rFonts w:ascii="Times New Roman" w:hAnsi="Times New Roman" w:cs="Times New Roman"/>
          <w:b/>
          <w:szCs w:val="24"/>
        </w:rPr>
        <w:t>α-</w:t>
      </w:r>
      <w:r w:rsidRPr="001C5C71">
        <w:rPr>
          <w:rFonts w:ascii="Times New Roman" w:hAnsi="Times New Roman" w:cs="Times New Roman"/>
          <w:b/>
          <w:szCs w:val="24"/>
          <w:lang w:val="id-ID"/>
        </w:rPr>
        <w:t xml:space="preserve">glukosidase </w:t>
      </w:r>
      <w:r w:rsidR="00E96025" w:rsidRPr="001C5C71">
        <w:rPr>
          <w:rFonts w:ascii="Times New Roman" w:hAnsi="Times New Roman" w:cs="Times New Roman"/>
          <w:b/>
          <w:szCs w:val="24"/>
          <w:lang w:val="id-ID"/>
        </w:rPr>
        <w:fldChar w:fldCharType="begin" w:fldLock="1"/>
      </w:r>
      <w:r w:rsidRPr="001C5C71">
        <w:rPr>
          <w:rFonts w:ascii="Times New Roman" w:hAnsi="Times New Roman" w:cs="Times New Roman"/>
          <w:b/>
          <w:szCs w:val="24"/>
          <w:lang w:val="id-ID"/>
        </w:rPr>
        <w:instrText>ADDIN CSL_CITATION { "citationItems" : [ { "id" : "ITEM-1", "itemData" : { "DOI" : "10.1155/2012/281078", "author" : [ { "dropping-particle" : "", "family" : "Elya", "given" : "Berna", "non-dropping-particle" : "", "parse-names" : false, "suffix" : "" }, { "dropping-particle" : "", "family" : "Basah", "given" : "Katrin", "non-dropping-particle" : "", "parse-names" : false, "suffix" : "" }, { "dropping-particle" : "", "family" : "Mun", "given" : "Abdul", "non-dropping-particle" : "", "parse-names" : false, "suffix" : "" }, { "dropping-particle" : "", "family" : "Yuliastuti", "given" : "Wulan", "non-dropping-particle" : "", "parse-names" : false, "suffix" : "" }, { "dropping-particle" : "", "family" : "Bangun", "given" : "Anastasia", "non-dropping-particle" : "", "parse-names" : false, "suffix" : "" }, { "dropping-particle" : "", "family" : "Septiana", "given" : "Eva Kurnia", "non-dropping-particle" : "", "parse-names" : false, "suffix" : "" }, { "dropping-particle" : "", "family" : "Cortex", "given" : "Carissa L", "non-dropping-particle" : "", "parse-names" : false, "suffix" : "" } ], "id" : "ITEM-1", "issued" : { "date-parts" : [ [ "2012" ] ] }, "title" : "Screening of \u03b1 -Glucosidase Inhibitory Activity from Some Plants of Apocynaceae , Clusiaceae , Euphorbiaceae , and Rubiaceae", "type" : "article-journal", "volume" : "2012" }, "uris" : [ "http://www.mendeley.com/documents/?uuid=2de3fe59-835a-4bb0-97e9-f16b5fddb33d" ] } ], "mendeley" : { "formattedCitation" : "(Elya et al., 2012)", "plainTextFormattedCitation" : "(Elya et al., 2012)", "previouslyFormattedCitation" : "(Elya et al., 2012)" }, "properties" : { "noteIndex" : 0 }, "schema" : "https://github.com/citation-style-language/schema/raw/master/csl-citation.json" }</w:instrText>
      </w:r>
      <w:r w:rsidR="00E96025" w:rsidRPr="001C5C71">
        <w:rPr>
          <w:rFonts w:ascii="Times New Roman" w:hAnsi="Times New Roman" w:cs="Times New Roman"/>
          <w:b/>
          <w:szCs w:val="24"/>
          <w:lang w:val="id-ID"/>
        </w:rPr>
        <w:fldChar w:fldCharType="end"/>
      </w:r>
    </w:p>
    <w:p w:rsidR="00546AF0" w:rsidRPr="001C5C71" w:rsidRDefault="008B5D5D" w:rsidP="00ED7000">
      <w:pPr>
        <w:spacing w:line="360" w:lineRule="auto"/>
        <w:ind w:firstLine="284"/>
        <w:jc w:val="both"/>
        <w:rPr>
          <w:rFonts w:cs="Times New Roman"/>
          <w:szCs w:val="24"/>
        </w:rPr>
      </w:pPr>
      <w:r w:rsidRPr="001C5C71">
        <w:rPr>
          <w:rFonts w:cs="Times New Roman"/>
          <w:color w:val="000000"/>
          <w:szCs w:val="24"/>
        </w:rPr>
        <w:t xml:space="preserve">Menurut Elya </w:t>
      </w:r>
      <w:r w:rsidRPr="001C5C71">
        <w:rPr>
          <w:rFonts w:cs="Times New Roman"/>
          <w:i/>
          <w:color w:val="000000"/>
          <w:szCs w:val="24"/>
        </w:rPr>
        <w:t>et al</w:t>
      </w:r>
      <w:r w:rsidRPr="001C5C71">
        <w:rPr>
          <w:rFonts w:cs="Times New Roman"/>
          <w:color w:val="000000"/>
          <w:szCs w:val="24"/>
        </w:rPr>
        <w:t xml:space="preserve">.(2011) pengujian kinetika inhibisi enzim α-glukosidase dilakukan dengan membuat dua sistem reaksi yang berbeda, yaitu sistem reaksi tanpa adanya inhibitor dan sestem reaksi dengan adanya inhibitor. Inhibitor yang dipilih merupakan ekstrak dengan konsentrasi yang mendekati nilai </w:t>
      </w:r>
      <w:r w:rsidRPr="001C5C71">
        <w:rPr>
          <w:rFonts w:eastAsiaTheme="minorEastAsia" w:cs="Times New Roman"/>
          <w:szCs w:val="24"/>
        </w:rPr>
        <w:t>IC</w:t>
      </w:r>
      <w:r w:rsidRPr="001C5C71">
        <w:rPr>
          <w:rFonts w:eastAsiaTheme="minorEastAsia" w:cs="Times New Roman"/>
          <w:szCs w:val="24"/>
          <w:vertAlign w:val="subscript"/>
        </w:rPr>
        <w:t>50</w:t>
      </w:r>
      <w:r w:rsidRPr="001C5C71">
        <w:rPr>
          <w:rFonts w:eastAsiaTheme="minorEastAsia" w:cs="Times New Roman"/>
          <w:szCs w:val="24"/>
        </w:rPr>
        <w:t xml:space="preserve">. Kedua sistem reaksi </w:t>
      </w:r>
      <w:r w:rsidRPr="001C5C71">
        <w:rPr>
          <w:rFonts w:eastAsiaTheme="minorEastAsia" w:cs="Times New Roman"/>
          <w:szCs w:val="24"/>
        </w:rPr>
        <w:lastRenderedPageBreak/>
        <w:t xml:space="preserve">tersebut ditambah dengan berbagai konsentrasi substrat </w:t>
      </w:r>
      <w:r w:rsidRPr="001C5C71">
        <w:rPr>
          <w:rFonts w:cs="Times New Roman"/>
          <w:color w:val="000000"/>
          <w:szCs w:val="24"/>
        </w:rPr>
        <w:t>p-nitrofenil-α-D-glukopiranosida.</w:t>
      </w:r>
    </w:p>
    <w:p w:rsidR="004E3A98" w:rsidRPr="001C5C71" w:rsidRDefault="00546AF0" w:rsidP="001C5C71">
      <w:pPr>
        <w:pStyle w:val="ListParagraph"/>
        <w:spacing w:after="0" w:line="360" w:lineRule="auto"/>
        <w:ind w:left="0"/>
        <w:jc w:val="center"/>
        <w:rPr>
          <w:rFonts w:ascii="Times New Roman" w:hAnsi="Times New Roman" w:cs="Times New Roman"/>
          <w:b/>
          <w:szCs w:val="24"/>
          <w:lang w:val="id-ID"/>
        </w:rPr>
      </w:pPr>
      <w:r w:rsidRPr="001C5C71">
        <w:rPr>
          <w:rFonts w:ascii="Times New Roman" w:hAnsi="Times New Roman" w:cs="Times New Roman"/>
          <w:b/>
          <w:szCs w:val="24"/>
          <w:lang w:val="id-ID"/>
        </w:rPr>
        <w:t>HASIL PEMBAHASAN</w:t>
      </w:r>
      <w:bookmarkStart w:id="1" w:name="_Toc457645390"/>
    </w:p>
    <w:p w:rsidR="00781E82" w:rsidRPr="001C5C71" w:rsidRDefault="00781E82" w:rsidP="00ED7000">
      <w:pPr>
        <w:pStyle w:val="ListParagraph"/>
        <w:spacing w:after="0" w:line="360" w:lineRule="auto"/>
        <w:ind w:left="0"/>
        <w:jc w:val="both"/>
        <w:rPr>
          <w:rFonts w:ascii="Times New Roman" w:hAnsi="Times New Roman" w:cs="Times New Roman"/>
          <w:b/>
          <w:szCs w:val="24"/>
          <w:lang w:val="id-ID"/>
        </w:rPr>
      </w:pPr>
      <w:r w:rsidRPr="001C5C71">
        <w:rPr>
          <w:rFonts w:ascii="Times New Roman" w:hAnsi="Times New Roman" w:cs="Times New Roman"/>
          <w:b/>
          <w:szCs w:val="24"/>
        </w:rPr>
        <w:t>Pembuatan Kurva Baku p-nitrofenol</w:t>
      </w:r>
      <w:bookmarkEnd w:id="1"/>
    </w:p>
    <w:p w:rsidR="00781E82" w:rsidRPr="001C5C71" w:rsidRDefault="00781E82" w:rsidP="00ED7000">
      <w:pPr>
        <w:spacing w:after="0" w:line="360" w:lineRule="auto"/>
        <w:ind w:firstLine="284"/>
        <w:jc w:val="both"/>
        <w:rPr>
          <w:rFonts w:cs="Times New Roman"/>
          <w:szCs w:val="24"/>
          <w:lang w:eastAsia="id-ID"/>
        </w:rPr>
      </w:pPr>
      <w:r w:rsidRPr="001C5C71">
        <w:rPr>
          <w:rFonts w:cs="Times New Roman"/>
          <w:szCs w:val="24"/>
          <w:lang w:eastAsia="id-ID"/>
        </w:rPr>
        <w:t xml:space="preserve">Hasil dari pembacaan absorbansi p-nitrofenol didapatkan persamaan y= 0,0033x+0,0542 dengan nilai R² = 0,9925. Nilai R² yang mendekati angka 1 menandakan bahwa peningkatan konsentrasi p-nitrofenol maka meningkat pula absorbansi dari p-nitrofenol yang terbaca. </w:t>
      </w:r>
    </w:p>
    <w:p w:rsidR="00781E82" w:rsidRPr="001C5C71" w:rsidRDefault="00781E82" w:rsidP="00ED7000">
      <w:pPr>
        <w:spacing w:after="0" w:line="360" w:lineRule="auto"/>
        <w:ind w:firstLine="284"/>
        <w:jc w:val="both"/>
        <w:rPr>
          <w:rFonts w:cs="Times New Roman"/>
          <w:szCs w:val="24"/>
          <w:lang w:eastAsia="id-ID"/>
        </w:rPr>
      </w:pPr>
      <w:r w:rsidRPr="001C5C71">
        <w:rPr>
          <w:rFonts w:cs="Times New Roman"/>
          <w:szCs w:val="24"/>
          <w:lang w:eastAsia="id-ID"/>
        </w:rPr>
        <w:t xml:space="preserve">Kurva baku p-nitrofenol berkaitan erat dengan jumlah p-nitrofenol yang terbentuk dalam sistem reaksi, sehingga dapat digunakan untuk menghitung daya inhibisi dari sampel. Sampel yang berfungsi </w:t>
      </w:r>
      <w:r w:rsidRPr="001C5C71">
        <w:rPr>
          <w:rFonts w:cs="Times New Roman"/>
          <w:szCs w:val="24"/>
          <w:lang w:eastAsia="id-ID"/>
        </w:rPr>
        <w:lastRenderedPageBreak/>
        <w:t>sebagai inhibitor enzim menyebabkan terjadinya penurunan reaksi enzim dengan substrat sehingga p-nitrofenol yang terbentuk semakin berkurang dan absorbansinya semakin kecil.</w:t>
      </w:r>
    </w:p>
    <w:p w:rsidR="00781E82" w:rsidRPr="001C5C71" w:rsidRDefault="00781E82" w:rsidP="00ED7000">
      <w:pPr>
        <w:spacing w:after="0" w:line="360" w:lineRule="auto"/>
        <w:rPr>
          <w:rFonts w:cs="Times New Roman"/>
          <w:b/>
          <w:szCs w:val="24"/>
        </w:rPr>
      </w:pPr>
      <w:bookmarkStart w:id="2" w:name="_Toc457645391"/>
      <w:r w:rsidRPr="001C5C71">
        <w:rPr>
          <w:rFonts w:cs="Times New Roman"/>
          <w:b/>
          <w:szCs w:val="24"/>
        </w:rPr>
        <w:t>Pengujian Inhibisi Enzim α-Glukosidase</w:t>
      </w:r>
      <w:bookmarkEnd w:id="2"/>
    </w:p>
    <w:p w:rsidR="00781E82" w:rsidRPr="001C5C71" w:rsidRDefault="00781E82" w:rsidP="00ED7000">
      <w:pPr>
        <w:spacing w:line="360" w:lineRule="auto"/>
        <w:ind w:firstLine="284"/>
        <w:jc w:val="both"/>
        <w:rPr>
          <w:rFonts w:cs="Times New Roman"/>
          <w:szCs w:val="24"/>
          <w:lang w:eastAsia="ko-KR"/>
        </w:rPr>
      </w:pPr>
      <w:r w:rsidRPr="001C5C71">
        <w:rPr>
          <w:rFonts w:cs="Times New Roman"/>
          <w:szCs w:val="24"/>
          <w:lang w:eastAsia="ko-KR"/>
        </w:rPr>
        <w:t>Hasil menunjukkan bahwa kemampuan ekstrak etanol rimpang lempuyang emprit dalam menghambat enzim α-glukosidase lebih baik dibandingkan dengan akarbosa (Tabel 1). N</w:t>
      </w:r>
      <w:r w:rsidRPr="001C5C71">
        <w:rPr>
          <w:rFonts w:cs="Times New Roman"/>
          <w:noProof/>
          <w:szCs w:val="24"/>
          <w:lang w:eastAsia="id-ID"/>
        </w:rPr>
        <w:t xml:space="preserve">ilai </w:t>
      </w:r>
      <w:r w:rsidRPr="001C5C71">
        <w:rPr>
          <w:rFonts w:cs="Times New Roman"/>
          <w:szCs w:val="24"/>
          <w:lang w:eastAsia="ko-KR"/>
        </w:rPr>
        <w:t>IC</w:t>
      </w:r>
      <w:r w:rsidRPr="001C5C71">
        <w:rPr>
          <w:rFonts w:cs="Times New Roman"/>
          <w:szCs w:val="24"/>
          <w:vertAlign w:val="subscript"/>
          <w:lang w:eastAsia="ko-KR"/>
        </w:rPr>
        <w:t xml:space="preserve">50 </w:t>
      </w:r>
      <w:r w:rsidRPr="001C5C71">
        <w:rPr>
          <w:rFonts w:cs="Times New Roman"/>
          <w:szCs w:val="24"/>
          <w:lang w:eastAsia="ko-KR"/>
        </w:rPr>
        <w:t>ekstrak etanol rimpang lempuyang emprit lebih kecil dibanding nilai IC</w:t>
      </w:r>
      <w:r w:rsidRPr="001C5C71">
        <w:rPr>
          <w:rFonts w:cs="Times New Roman"/>
          <w:szCs w:val="24"/>
          <w:vertAlign w:val="subscript"/>
          <w:lang w:eastAsia="ko-KR"/>
        </w:rPr>
        <w:t xml:space="preserve">50 </w:t>
      </w:r>
      <w:r w:rsidRPr="001C5C71">
        <w:rPr>
          <w:rFonts w:cs="Times New Roman"/>
          <w:szCs w:val="24"/>
          <w:lang w:eastAsia="ko-KR"/>
        </w:rPr>
        <w:t xml:space="preserve">akarbosa disebabkan oleh adanya efek sinergis antara senyawa </w:t>
      </w:r>
      <w:r w:rsidRPr="001C5C71">
        <w:rPr>
          <w:rFonts w:cs="Times New Roman"/>
          <w:szCs w:val="24"/>
        </w:rPr>
        <w:t xml:space="preserve">α-humulen dan zerumbon </w:t>
      </w:r>
      <w:r w:rsidRPr="001C5C71">
        <w:rPr>
          <w:rFonts w:cs="Times New Roman"/>
          <w:szCs w:val="24"/>
          <w:lang w:eastAsia="ko-KR"/>
        </w:rPr>
        <w:t>yang terkandung dalam rimpang lempuyang emprit.</w:t>
      </w:r>
    </w:p>
    <w:p w:rsidR="00ED7000" w:rsidRPr="001C5C71" w:rsidRDefault="00ED7000" w:rsidP="00ED7000">
      <w:pPr>
        <w:pStyle w:val="Caption"/>
        <w:spacing w:line="360" w:lineRule="auto"/>
        <w:jc w:val="center"/>
        <w:rPr>
          <w:rFonts w:ascii="Times New Roman" w:hAnsi="Times New Roman"/>
          <w:color w:val="auto"/>
          <w:sz w:val="24"/>
          <w:szCs w:val="24"/>
        </w:rPr>
        <w:sectPr w:rsidR="00ED7000" w:rsidRPr="001C5C71" w:rsidSect="00ED7000">
          <w:type w:val="continuous"/>
          <w:pgSz w:w="11906" w:h="16838"/>
          <w:pgMar w:top="2268" w:right="1701" w:bottom="1701" w:left="2268" w:header="709" w:footer="709" w:gutter="0"/>
          <w:cols w:num="2" w:space="708"/>
          <w:docGrid w:linePitch="360"/>
        </w:sectPr>
      </w:pPr>
      <w:bookmarkStart w:id="3" w:name="_Toc457646193"/>
    </w:p>
    <w:p w:rsidR="00781E82" w:rsidRPr="001C5C71" w:rsidRDefault="00781E82" w:rsidP="00ED7000">
      <w:pPr>
        <w:pStyle w:val="Caption"/>
        <w:spacing w:line="360" w:lineRule="auto"/>
        <w:jc w:val="center"/>
        <w:rPr>
          <w:rFonts w:ascii="Times New Roman" w:hAnsi="Times New Roman"/>
          <w:color w:val="auto"/>
          <w:sz w:val="24"/>
          <w:szCs w:val="24"/>
          <w:lang w:val="id-ID" w:eastAsia="ko-KR"/>
        </w:rPr>
      </w:pPr>
      <w:r w:rsidRPr="001C5C71">
        <w:rPr>
          <w:rFonts w:ascii="Times New Roman" w:hAnsi="Times New Roman"/>
          <w:color w:val="auto"/>
          <w:sz w:val="24"/>
          <w:szCs w:val="24"/>
        </w:rPr>
        <w:lastRenderedPageBreak/>
        <w:t>Tabel</w:t>
      </w:r>
      <w:r w:rsidRPr="001C5C71">
        <w:rPr>
          <w:rFonts w:ascii="Times New Roman" w:hAnsi="Times New Roman"/>
          <w:color w:val="auto"/>
          <w:sz w:val="24"/>
          <w:szCs w:val="24"/>
          <w:lang w:val="id-ID"/>
        </w:rPr>
        <w:t xml:space="preserve"> 1. Hasil </w:t>
      </w:r>
      <w:r w:rsidRPr="001C5C71">
        <w:rPr>
          <w:rFonts w:ascii="Times New Roman" w:eastAsia="Times New Roman" w:hAnsi="Times New Roman"/>
          <w:color w:val="auto"/>
          <w:sz w:val="24"/>
          <w:szCs w:val="24"/>
          <w:lang w:val="id-ID" w:eastAsia="id-ID"/>
        </w:rPr>
        <w:t>IC</w:t>
      </w:r>
      <w:r w:rsidRPr="001C5C71">
        <w:rPr>
          <w:rFonts w:ascii="Times New Roman" w:eastAsia="Times New Roman" w:hAnsi="Times New Roman"/>
          <w:color w:val="auto"/>
          <w:sz w:val="24"/>
          <w:szCs w:val="24"/>
          <w:vertAlign w:val="subscript"/>
          <w:lang w:val="id-ID" w:eastAsia="id-ID"/>
        </w:rPr>
        <w:t xml:space="preserve">50 </w:t>
      </w:r>
      <w:r w:rsidRPr="001C5C71">
        <w:rPr>
          <w:rFonts w:ascii="Times New Roman" w:eastAsia="Times New Roman" w:hAnsi="Times New Roman"/>
          <w:color w:val="auto"/>
          <w:sz w:val="24"/>
          <w:szCs w:val="24"/>
          <w:lang w:val="id-ID" w:eastAsia="id-ID"/>
        </w:rPr>
        <w:t>ekstrak etanol rimpang lempuyang emprit dan akarbosa</w:t>
      </w:r>
      <w:bookmarkEnd w:id="3"/>
    </w:p>
    <w:tbl>
      <w:tblPr>
        <w:tblW w:w="6182" w:type="dxa"/>
        <w:jc w:val="center"/>
        <w:tblInd w:w="93" w:type="dxa"/>
        <w:tblLook w:val="04A0"/>
      </w:tblPr>
      <w:tblGrid>
        <w:gridCol w:w="1136"/>
        <w:gridCol w:w="996"/>
        <w:gridCol w:w="996"/>
        <w:gridCol w:w="996"/>
        <w:gridCol w:w="996"/>
        <w:gridCol w:w="1062"/>
      </w:tblGrid>
      <w:tr w:rsidR="00391B15" w:rsidRPr="001C5C71" w:rsidTr="00341FBC">
        <w:trPr>
          <w:trHeight w:val="315"/>
          <w:jc w:val="center"/>
        </w:trPr>
        <w:tc>
          <w:tcPr>
            <w:tcW w:w="1136" w:type="dxa"/>
            <w:vMerge w:val="restart"/>
            <w:tcBorders>
              <w:top w:val="single" w:sz="8" w:space="0" w:color="auto"/>
              <w:left w:val="nil"/>
              <w:bottom w:val="single" w:sz="8" w:space="0" w:color="000000"/>
              <w:right w:val="nil"/>
            </w:tcBorders>
            <w:shd w:val="clear" w:color="auto" w:fill="auto"/>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Sampel</w:t>
            </w:r>
          </w:p>
        </w:tc>
        <w:tc>
          <w:tcPr>
            <w:tcW w:w="2988" w:type="dxa"/>
            <w:gridSpan w:val="3"/>
            <w:tcBorders>
              <w:top w:val="single" w:sz="8" w:space="0" w:color="auto"/>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IC</w:t>
            </w:r>
            <w:r w:rsidRPr="001C5C71">
              <w:rPr>
                <w:rFonts w:eastAsia="Times New Roman" w:cs="Times New Roman"/>
                <w:color w:val="000000"/>
                <w:szCs w:val="24"/>
                <w:vertAlign w:val="subscript"/>
                <w:lang w:eastAsia="id-ID"/>
              </w:rPr>
              <w:t>50</w:t>
            </w:r>
            <w:r w:rsidRPr="001C5C71">
              <w:rPr>
                <w:rFonts w:eastAsia="Times New Roman" w:cs="Times New Roman"/>
                <w:color w:val="000000"/>
                <w:szCs w:val="24"/>
                <w:lang w:eastAsia="id-ID"/>
              </w:rPr>
              <w:t xml:space="preserve"> (µg/mL)</w:t>
            </w:r>
          </w:p>
        </w:tc>
        <w:tc>
          <w:tcPr>
            <w:tcW w:w="996" w:type="dxa"/>
            <w:vMerge w:val="restart"/>
            <w:tcBorders>
              <w:top w:val="single" w:sz="8" w:space="0" w:color="auto"/>
              <w:left w:val="nil"/>
              <w:bottom w:val="single" w:sz="8" w:space="0" w:color="000000"/>
              <w:right w:val="nil"/>
            </w:tcBorders>
            <w:shd w:val="clear" w:color="auto" w:fill="auto"/>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Rerata</w:t>
            </w:r>
          </w:p>
        </w:tc>
        <w:tc>
          <w:tcPr>
            <w:tcW w:w="1062" w:type="dxa"/>
            <w:vMerge w:val="restart"/>
            <w:tcBorders>
              <w:top w:val="single" w:sz="8" w:space="0" w:color="auto"/>
              <w:left w:val="nil"/>
              <w:bottom w:val="single" w:sz="8" w:space="0" w:color="000000"/>
              <w:right w:val="nil"/>
            </w:tcBorders>
            <w:shd w:val="clear" w:color="auto" w:fill="auto"/>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SD</w:t>
            </w:r>
          </w:p>
        </w:tc>
      </w:tr>
      <w:tr w:rsidR="00391B15" w:rsidRPr="001C5C71" w:rsidTr="00341FBC">
        <w:trPr>
          <w:trHeight w:val="315"/>
          <w:jc w:val="center"/>
        </w:trPr>
        <w:tc>
          <w:tcPr>
            <w:tcW w:w="1136" w:type="dxa"/>
            <w:vMerge/>
            <w:tcBorders>
              <w:top w:val="single" w:sz="8" w:space="0" w:color="auto"/>
              <w:left w:val="nil"/>
              <w:bottom w:val="single" w:sz="8" w:space="0" w:color="000000"/>
              <w:right w:val="nil"/>
            </w:tcBorders>
            <w:vAlign w:val="center"/>
            <w:hideMark/>
          </w:tcPr>
          <w:p w:rsidR="00391B15" w:rsidRPr="001C5C71" w:rsidRDefault="00391B15" w:rsidP="00ED7000">
            <w:pPr>
              <w:spacing w:after="0" w:line="360" w:lineRule="auto"/>
              <w:rPr>
                <w:rFonts w:eastAsia="Times New Roman" w:cs="Times New Roman"/>
                <w:color w:val="000000"/>
                <w:szCs w:val="24"/>
                <w:lang w:eastAsia="id-ID"/>
              </w:rPr>
            </w:pP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1</w:t>
            </w: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2</w:t>
            </w: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3</w:t>
            </w:r>
          </w:p>
        </w:tc>
        <w:tc>
          <w:tcPr>
            <w:tcW w:w="996" w:type="dxa"/>
            <w:vMerge/>
            <w:tcBorders>
              <w:top w:val="single" w:sz="8" w:space="0" w:color="auto"/>
              <w:left w:val="nil"/>
              <w:bottom w:val="single" w:sz="8" w:space="0" w:color="000000"/>
              <w:right w:val="nil"/>
            </w:tcBorders>
            <w:vAlign w:val="center"/>
            <w:hideMark/>
          </w:tcPr>
          <w:p w:rsidR="00391B15" w:rsidRPr="001C5C71" w:rsidRDefault="00391B15" w:rsidP="00ED7000">
            <w:pPr>
              <w:spacing w:after="0" w:line="360" w:lineRule="auto"/>
              <w:rPr>
                <w:rFonts w:eastAsia="Times New Roman" w:cs="Times New Roman"/>
                <w:color w:val="000000"/>
                <w:szCs w:val="24"/>
                <w:lang w:eastAsia="id-ID"/>
              </w:rPr>
            </w:pPr>
          </w:p>
        </w:tc>
        <w:tc>
          <w:tcPr>
            <w:tcW w:w="1062" w:type="dxa"/>
            <w:vMerge/>
            <w:tcBorders>
              <w:top w:val="single" w:sz="8" w:space="0" w:color="auto"/>
              <w:left w:val="nil"/>
              <w:bottom w:val="single" w:sz="8" w:space="0" w:color="000000"/>
              <w:right w:val="nil"/>
            </w:tcBorders>
            <w:vAlign w:val="center"/>
            <w:hideMark/>
          </w:tcPr>
          <w:p w:rsidR="00391B15" w:rsidRPr="001C5C71" w:rsidRDefault="00391B15" w:rsidP="00ED7000">
            <w:pPr>
              <w:spacing w:after="0" w:line="360" w:lineRule="auto"/>
              <w:rPr>
                <w:rFonts w:eastAsia="Times New Roman" w:cs="Times New Roman"/>
                <w:color w:val="000000"/>
                <w:szCs w:val="24"/>
                <w:lang w:eastAsia="id-ID"/>
              </w:rPr>
            </w:pPr>
          </w:p>
        </w:tc>
      </w:tr>
      <w:tr w:rsidR="00391B15" w:rsidRPr="001C5C71" w:rsidTr="00341FBC">
        <w:trPr>
          <w:trHeight w:val="300"/>
          <w:jc w:val="center"/>
        </w:trPr>
        <w:tc>
          <w:tcPr>
            <w:tcW w:w="1136" w:type="dxa"/>
            <w:tcBorders>
              <w:top w:val="nil"/>
              <w:left w:val="nil"/>
              <w:bottom w:val="nil"/>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Akarbose</w:t>
            </w:r>
          </w:p>
        </w:tc>
        <w:tc>
          <w:tcPr>
            <w:tcW w:w="996" w:type="dxa"/>
            <w:tcBorders>
              <w:top w:val="nil"/>
              <w:left w:val="nil"/>
              <w:bottom w:val="nil"/>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328,824</w:t>
            </w:r>
          </w:p>
        </w:tc>
        <w:tc>
          <w:tcPr>
            <w:tcW w:w="996" w:type="dxa"/>
            <w:tcBorders>
              <w:top w:val="nil"/>
              <w:left w:val="nil"/>
              <w:bottom w:val="nil"/>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261,776</w:t>
            </w:r>
          </w:p>
        </w:tc>
        <w:tc>
          <w:tcPr>
            <w:tcW w:w="996" w:type="dxa"/>
            <w:tcBorders>
              <w:top w:val="nil"/>
              <w:left w:val="nil"/>
              <w:bottom w:val="nil"/>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282,14</w:t>
            </w:r>
          </w:p>
        </w:tc>
        <w:tc>
          <w:tcPr>
            <w:tcW w:w="996" w:type="dxa"/>
            <w:tcBorders>
              <w:top w:val="nil"/>
              <w:left w:val="nil"/>
              <w:bottom w:val="nil"/>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290,913</w:t>
            </w:r>
          </w:p>
        </w:tc>
        <w:tc>
          <w:tcPr>
            <w:tcW w:w="1062" w:type="dxa"/>
            <w:tcBorders>
              <w:top w:val="nil"/>
              <w:left w:val="nil"/>
              <w:bottom w:val="nil"/>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34,374</w:t>
            </w:r>
          </w:p>
        </w:tc>
      </w:tr>
      <w:tr w:rsidR="00391B15" w:rsidRPr="001C5C71" w:rsidTr="00341FBC">
        <w:trPr>
          <w:trHeight w:val="315"/>
          <w:jc w:val="center"/>
        </w:trPr>
        <w:tc>
          <w:tcPr>
            <w:tcW w:w="113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Ekstrak</w:t>
            </w: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150,927</w:t>
            </w: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175,884</w:t>
            </w: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173,987</w:t>
            </w:r>
          </w:p>
        </w:tc>
        <w:tc>
          <w:tcPr>
            <w:tcW w:w="996"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166,933</w:t>
            </w:r>
          </w:p>
        </w:tc>
        <w:tc>
          <w:tcPr>
            <w:tcW w:w="1062" w:type="dxa"/>
            <w:tcBorders>
              <w:top w:val="nil"/>
              <w:left w:val="nil"/>
              <w:bottom w:val="single" w:sz="8" w:space="0" w:color="auto"/>
              <w:right w:val="nil"/>
            </w:tcBorders>
            <w:shd w:val="clear" w:color="auto" w:fill="auto"/>
            <w:noWrap/>
            <w:vAlign w:val="center"/>
            <w:hideMark/>
          </w:tcPr>
          <w:p w:rsidR="00391B15" w:rsidRPr="001C5C71" w:rsidRDefault="00391B15" w:rsidP="00ED7000">
            <w:pPr>
              <w:spacing w:after="0" w:line="360" w:lineRule="auto"/>
              <w:jc w:val="center"/>
              <w:rPr>
                <w:rFonts w:eastAsia="Times New Roman" w:cs="Times New Roman"/>
                <w:color w:val="000000"/>
                <w:szCs w:val="24"/>
                <w:lang w:eastAsia="id-ID"/>
              </w:rPr>
            </w:pPr>
            <w:r w:rsidRPr="001C5C71">
              <w:rPr>
                <w:rFonts w:eastAsia="Times New Roman" w:cs="Times New Roman"/>
                <w:color w:val="000000"/>
                <w:szCs w:val="24"/>
                <w:lang w:eastAsia="id-ID"/>
              </w:rPr>
              <w:t>13,894</w:t>
            </w:r>
          </w:p>
        </w:tc>
      </w:tr>
    </w:tbl>
    <w:p w:rsidR="00781E82" w:rsidRPr="001C5C71" w:rsidRDefault="00781E82" w:rsidP="00ED7000">
      <w:pPr>
        <w:spacing w:line="360" w:lineRule="auto"/>
        <w:jc w:val="center"/>
        <w:rPr>
          <w:rFonts w:cs="Times New Roman"/>
          <w:szCs w:val="24"/>
          <w:lang w:eastAsia="id-ID"/>
        </w:rPr>
      </w:pPr>
    </w:p>
    <w:p w:rsidR="00ED7000" w:rsidRPr="001C5C71" w:rsidRDefault="00ED7000" w:rsidP="00ED7000">
      <w:pPr>
        <w:spacing w:after="0" w:line="360" w:lineRule="auto"/>
        <w:ind w:firstLine="284"/>
        <w:jc w:val="both"/>
        <w:rPr>
          <w:rFonts w:cs="Times New Roman"/>
          <w:szCs w:val="24"/>
          <w:lang w:eastAsia="ko-KR"/>
        </w:rPr>
        <w:sectPr w:rsidR="00ED7000" w:rsidRPr="001C5C71" w:rsidSect="00ED7000">
          <w:type w:val="continuous"/>
          <w:pgSz w:w="11906" w:h="16838"/>
          <w:pgMar w:top="2268" w:right="1701" w:bottom="1701" w:left="2268" w:header="709" w:footer="709" w:gutter="0"/>
          <w:cols w:space="708"/>
          <w:docGrid w:linePitch="360"/>
        </w:sectPr>
      </w:pPr>
    </w:p>
    <w:p w:rsidR="00781E82" w:rsidRPr="001C5C71" w:rsidRDefault="00781E82" w:rsidP="00ED7000">
      <w:pPr>
        <w:spacing w:after="0" w:line="360" w:lineRule="auto"/>
        <w:ind w:firstLine="284"/>
        <w:jc w:val="both"/>
        <w:rPr>
          <w:rFonts w:cs="Times New Roman"/>
          <w:szCs w:val="24"/>
          <w:lang w:eastAsia="ko-KR"/>
        </w:rPr>
      </w:pPr>
      <w:r w:rsidRPr="001C5C71">
        <w:rPr>
          <w:rFonts w:cs="Times New Roman"/>
          <w:szCs w:val="24"/>
          <w:lang w:eastAsia="ko-KR"/>
        </w:rPr>
        <w:lastRenderedPageBreak/>
        <w:t>N</w:t>
      </w:r>
      <w:r w:rsidRPr="001C5C71">
        <w:rPr>
          <w:rFonts w:cs="Times New Roman"/>
          <w:noProof/>
          <w:szCs w:val="24"/>
          <w:lang w:eastAsia="id-ID"/>
        </w:rPr>
        <w:t xml:space="preserve">ilai </w:t>
      </w:r>
      <w:r w:rsidRPr="001C5C71">
        <w:rPr>
          <w:rFonts w:cs="Times New Roman"/>
          <w:szCs w:val="24"/>
          <w:lang w:eastAsia="ko-KR"/>
        </w:rPr>
        <w:t>IC</w:t>
      </w:r>
      <w:r w:rsidRPr="001C5C71">
        <w:rPr>
          <w:rFonts w:cs="Times New Roman"/>
          <w:szCs w:val="24"/>
          <w:vertAlign w:val="subscript"/>
          <w:lang w:eastAsia="ko-KR"/>
        </w:rPr>
        <w:t xml:space="preserve">50 </w:t>
      </w:r>
      <w:r w:rsidRPr="001C5C71">
        <w:rPr>
          <w:rFonts w:cs="Times New Roman"/>
          <w:szCs w:val="24"/>
          <w:lang w:eastAsia="ko-KR"/>
        </w:rPr>
        <w:t xml:space="preserve">ekstrak etanol rimpang lempuyang emprit relatif lebih besar </w:t>
      </w:r>
      <w:r w:rsidRPr="001C5C71">
        <w:rPr>
          <w:rFonts w:cs="Times New Roman"/>
          <w:szCs w:val="24"/>
          <w:lang w:eastAsia="ko-KR"/>
        </w:rPr>
        <w:lastRenderedPageBreak/>
        <w:t>dibandingkan dengan n</w:t>
      </w:r>
      <w:r w:rsidRPr="001C5C71">
        <w:rPr>
          <w:rFonts w:cs="Times New Roman"/>
          <w:noProof/>
          <w:szCs w:val="24"/>
          <w:lang w:eastAsia="id-ID"/>
        </w:rPr>
        <w:t xml:space="preserve">ilai </w:t>
      </w:r>
      <w:r w:rsidRPr="001C5C71">
        <w:rPr>
          <w:rFonts w:cs="Times New Roman"/>
          <w:szCs w:val="24"/>
          <w:lang w:eastAsia="ko-KR"/>
        </w:rPr>
        <w:t>IC</w:t>
      </w:r>
      <w:r w:rsidRPr="001C5C71">
        <w:rPr>
          <w:rFonts w:cs="Times New Roman"/>
          <w:szCs w:val="24"/>
          <w:vertAlign w:val="subscript"/>
          <w:lang w:eastAsia="ko-KR"/>
        </w:rPr>
        <w:t xml:space="preserve">50 </w:t>
      </w:r>
      <w:r w:rsidRPr="001C5C71">
        <w:rPr>
          <w:rFonts w:cs="Times New Roman"/>
          <w:szCs w:val="24"/>
          <w:lang w:eastAsia="ko-KR"/>
        </w:rPr>
        <w:t xml:space="preserve">zerumbon dan </w:t>
      </w:r>
      <w:r w:rsidRPr="001C5C71">
        <w:rPr>
          <w:rFonts w:cs="Times New Roman"/>
          <w:szCs w:val="24"/>
          <w:lang w:eastAsia="ko-KR"/>
        </w:rPr>
        <w:sym w:font="Symbol" w:char="F061"/>
      </w:r>
      <w:r w:rsidRPr="001C5C71">
        <w:rPr>
          <w:rFonts w:cs="Times New Roman"/>
          <w:szCs w:val="24"/>
          <w:lang w:eastAsia="ko-KR"/>
        </w:rPr>
        <w:t xml:space="preserve">-humulen </w:t>
      </w:r>
      <w:r w:rsidRPr="001C5C71">
        <w:rPr>
          <w:rFonts w:cs="Times New Roman"/>
          <w:szCs w:val="24"/>
        </w:rPr>
        <w:t>masing–</w:t>
      </w:r>
      <w:r w:rsidRPr="001C5C71">
        <w:rPr>
          <w:rFonts w:cs="Times New Roman"/>
          <w:szCs w:val="24"/>
        </w:rPr>
        <w:lastRenderedPageBreak/>
        <w:t>masing sebesar 95,7±1,04 µM dan 197,2±0,06 µM</w:t>
      </w:r>
      <w:r w:rsidRPr="001C5C71">
        <w:rPr>
          <w:rFonts w:cs="Times New Roman"/>
          <w:szCs w:val="24"/>
          <w:lang w:eastAsia="ko-KR"/>
        </w:rPr>
        <w:t xml:space="preserve"> (Ajish </w:t>
      </w:r>
      <w:r w:rsidRPr="001C5C71">
        <w:rPr>
          <w:rFonts w:cs="Times New Roman"/>
          <w:i/>
          <w:szCs w:val="24"/>
          <w:lang w:eastAsia="ko-KR"/>
        </w:rPr>
        <w:t xml:space="preserve">et al. </w:t>
      </w:r>
      <w:r w:rsidRPr="001C5C71">
        <w:rPr>
          <w:rFonts w:cs="Times New Roman"/>
          <w:szCs w:val="24"/>
          <w:lang w:eastAsia="ko-KR"/>
        </w:rPr>
        <w:t>2014). Perbedaan  nilai IC</w:t>
      </w:r>
      <w:r w:rsidRPr="001C5C71">
        <w:rPr>
          <w:rFonts w:cs="Times New Roman"/>
          <w:szCs w:val="24"/>
          <w:vertAlign w:val="subscript"/>
          <w:lang w:eastAsia="ko-KR"/>
        </w:rPr>
        <w:t xml:space="preserve">50 </w:t>
      </w:r>
      <w:r w:rsidRPr="001C5C71">
        <w:rPr>
          <w:rFonts w:cs="Times New Roman"/>
          <w:szCs w:val="24"/>
          <w:lang w:eastAsia="ko-KR"/>
        </w:rPr>
        <w:t xml:space="preserve">antara ekstrak etanol rimpang lempuyang emprit dengan zerumbon dan </w:t>
      </w:r>
      <w:r w:rsidRPr="001C5C71">
        <w:rPr>
          <w:rFonts w:cs="Times New Roman"/>
          <w:szCs w:val="24"/>
          <w:lang w:eastAsia="ko-KR"/>
        </w:rPr>
        <w:sym w:font="Symbol" w:char="F061"/>
      </w:r>
      <w:r w:rsidRPr="001C5C71">
        <w:rPr>
          <w:rFonts w:cs="Times New Roman"/>
          <w:szCs w:val="24"/>
          <w:lang w:eastAsia="ko-KR"/>
        </w:rPr>
        <w:t xml:space="preserve">-humulen disebabkan karena zerumbon dan </w:t>
      </w:r>
      <w:r w:rsidRPr="001C5C71">
        <w:rPr>
          <w:rFonts w:cs="Times New Roman"/>
          <w:szCs w:val="24"/>
          <w:lang w:eastAsia="ko-KR"/>
        </w:rPr>
        <w:sym w:font="Symbol" w:char="F061"/>
      </w:r>
      <w:r w:rsidRPr="001C5C71">
        <w:rPr>
          <w:rFonts w:cs="Times New Roman"/>
          <w:szCs w:val="24"/>
          <w:lang w:eastAsia="ko-KR"/>
        </w:rPr>
        <w:t>-</w:t>
      </w:r>
      <w:r w:rsidRPr="001C5C71">
        <w:rPr>
          <w:rFonts w:cs="Times New Roman"/>
          <w:szCs w:val="24"/>
          <w:lang w:eastAsia="ko-KR"/>
        </w:rPr>
        <w:lastRenderedPageBreak/>
        <w:t>humulen merupakan senyawa murni sedangkan ekstrak mengandung senyawa lain yang tidak memiliki aktivitas dalam menghambat enzim α-glukosidase.</w:t>
      </w:r>
    </w:p>
    <w:p w:rsidR="001C5C71" w:rsidRPr="001C5C71" w:rsidRDefault="001C5C71" w:rsidP="00ED7000">
      <w:pPr>
        <w:spacing w:after="0" w:line="360" w:lineRule="auto"/>
        <w:rPr>
          <w:rFonts w:cs="Times New Roman"/>
          <w:b/>
          <w:szCs w:val="24"/>
        </w:rPr>
        <w:sectPr w:rsidR="001C5C71" w:rsidRPr="001C5C71" w:rsidSect="001C5C71">
          <w:type w:val="continuous"/>
          <w:pgSz w:w="11906" w:h="16838"/>
          <w:pgMar w:top="2268" w:right="1701" w:bottom="1701" w:left="2268" w:header="709" w:footer="709" w:gutter="0"/>
          <w:cols w:num="2" w:space="708"/>
          <w:docGrid w:linePitch="360"/>
        </w:sectPr>
      </w:pPr>
      <w:bookmarkStart w:id="4" w:name="_Toc457645392"/>
    </w:p>
    <w:p w:rsidR="00781E82" w:rsidRPr="001C5C71" w:rsidRDefault="00781E82" w:rsidP="00ED7000">
      <w:pPr>
        <w:spacing w:after="0" w:line="360" w:lineRule="auto"/>
        <w:rPr>
          <w:rFonts w:cs="Times New Roman"/>
          <w:b/>
          <w:szCs w:val="24"/>
        </w:rPr>
      </w:pPr>
      <w:r w:rsidRPr="001C5C71">
        <w:rPr>
          <w:rFonts w:cs="Times New Roman"/>
          <w:b/>
          <w:szCs w:val="24"/>
        </w:rPr>
        <w:lastRenderedPageBreak/>
        <w:t>Pengujian Kinetika Inhibisi Enzim α-Glukosidase</w:t>
      </w:r>
      <w:bookmarkEnd w:id="4"/>
    </w:p>
    <w:p w:rsidR="00781E82" w:rsidRPr="001C5C71" w:rsidRDefault="00A308A5" w:rsidP="00ED7000">
      <w:pPr>
        <w:spacing w:after="0" w:line="360" w:lineRule="auto"/>
        <w:ind w:firstLine="284"/>
        <w:jc w:val="both"/>
        <w:rPr>
          <w:rFonts w:cs="Times New Roman"/>
          <w:szCs w:val="24"/>
          <w:lang w:eastAsia="ko-KR"/>
        </w:rPr>
      </w:pPr>
      <w:r w:rsidRPr="001C5C71">
        <w:rPr>
          <w:rFonts w:cs="Times New Roman"/>
          <w:szCs w:val="24"/>
          <w:lang w:eastAsia="ko-KR"/>
        </w:rPr>
        <w:t xml:space="preserve">Berdasarkan data yang didapat terjadi perpotongan pada sumbu y= 0 yang berarti bahwa nilai -1/km atau </w:t>
      </w:r>
      <w:r w:rsidRPr="001C5C71">
        <w:rPr>
          <w:rFonts w:cs="Times New Roman"/>
          <w:szCs w:val="24"/>
          <w:lang w:eastAsia="ko-KR"/>
        </w:rPr>
        <w:lastRenderedPageBreak/>
        <w:t>tetapan Michaelis-Menten antara kurva tanpa  maupun dengan pemberian inhibitor ekstrak etanol rimpang lempuyang emprit 200 µg/mL adalah sama (Gambar 1).</w:t>
      </w:r>
    </w:p>
    <w:p w:rsidR="00ED7000" w:rsidRPr="001C5C71" w:rsidRDefault="00ED7000" w:rsidP="00ED7000">
      <w:pPr>
        <w:spacing w:after="0" w:line="360" w:lineRule="auto"/>
        <w:ind w:firstLine="720"/>
        <w:jc w:val="center"/>
        <w:rPr>
          <w:rFonts w:cs="Times New Roman"/>
          <w:szCs w:val="24"/>
          <w:lang w:eastAsia="ko-KR"/>
        </w:rPr>
        <w:sectPr w:rsidR="00ED7000" w:rsidRPr="001C5C71" w:rsidSect="001C5C71">
          <w:type w:val="continuous"/>
          <w:pgSz w:w="11906" w:h="16838"/>
          <w:pgMar w:top="2268" w:right="1701" w:bottom="1701" w:left="2268" w:header="709" w:footer="709" w:gutter="0"/>
          <w:cols w:num="2" w:space="708"/>
          <w:docGrid w:linePitch="360"/>
        </w:sectPr>
      </w:pPr>
    </w:p>
    <w:p w:rsidR="001C5C71" w:rsidRPr="001C5C71" w:rsidRDefault="001C5C71" w:rsidP="00ED7000">
      <w:pPr>
        <w:spacing w:after="0" w:line="360" w:lineRule="auto"/>
        <w:ind w:firstLine="720"/>
        <w:jc w:val="center"/>
        <w:rPr>
          <w:rFonts w:cs="Times New Roman"/>
          <w:szCs w:val="24"/>
          <w:lang w:eastAsia="ko-KR"/>
        </w:rPr>
        <w:sectPr w:rsidR="001C5C71" w:rsidRPr="001C5C71" w:rsidSect="001C5C71">
          <w:type w:val="continuous"/>
          <w:pgSz w:w="11906" w:h="16838"/>
          <w:pgMar w:top="2268" w:right="1701" w:bottom="1701" w:left="2268" w:header="709" w:footer="709" w:gutter="0"/>
          <w:cols w:space="708"/>
          <w:docGrid w:linePitch="360"/>
        </w:sectPr>
      </w:pPr>
    </w:p>
    <w:p w:rsidR="00781E82" w:rsidRPr="001C5C71" w:rsidRDefault="00781E82" w:rsidP="00ED7000">
      <w:pPr>
        <w:spacing w:after="0" w:line="360" w:lineRule="auto"/>
        <w:ind w:firstLine="720"/>
        <w:jc w:val="center"/>
        <w:rPr>
          <w:rFonts w:cs="Times New Roman"/>
          <w:szCs w:val="24"/>
          <w:lang w:eastAsia="ko-KR"/>
        </w:rPr>
      </w:pPr>
      <w:r w:rsidRPr="001C5C71">
        <w:rPr>
          <w:rFonts w:cs="Times New Roman"/>
          <w:noProof/>
          <w:szCs w:val="24"/>
          <w:lang w:val="en-US"/>
        </w:rPr>
        <w:lastRenderedPageBreak/>
        <w:drawing>
          <wp:inline distT="0" distB="0" distL="0" distR="0">
            <wp:extent cx="4029740" cy="2477386"/>
            <wp:effectExtent l="0" t="0" r="27940"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C5C71" w:rsidRPr="001C5C71" w:rsidRDefault="001C5C71" w:rsidP="001C5C71">
      <w:pPr>
        <w:pStyle w:val="BodyText"/>
        <w:spacing w:after="240"/>
        <w:jc w:val="center"/>
      </w:pPr>
      <w:bookmarkStart w:id="5" w:name="_Toc457645797"/>
      <w:r w:rsidRPr="001C5C71">
        <w:t>Gambar 2. Hasil plot Lineweaver-Burk ekstrak etanol rimpang lempuyang emprit 200 µg/mL</w:t>
      </w:r>
    </w:p>
    <w:p w:rsidR="001C5C71" w:rsidRPr="001C5C71" w:rsidRDefault="001C5C71" w:rsidP="001C5C71">
      <w:pPr>
        <w:contextualSpacing/>
        <w:rPr>
          <w:rFonts w:cs="Times New Roman"/>
          <w:noProof/>
          <w:szCs w:val="24"/>
          <w:lang w:eastAsia="id-ID"/>
        </w:rPr>
      </w:pPr>
      <w:r w:rsidRPr="001C5C71">
        <w:rPr>
          <w:rFonts w:cs="Times New Roman"/>
        </w:rPr>
        <w:object w:dxaOrig="9565" w:dyaOrig="2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83.25pt" o:ole="">
            <v:imagedata r:id="rId12" o:title=""/>
          </v:shape>
          <o:OLEObject Type="Embed" ProgID="ChemDraw.Document.6.0" ShapeID="_x0000_i1025" DrawAspect="Content" ObjectID="_1533408585" r:id="rId13"/>
        </w:object>
      </w:r>
      <w:bookmarkStart w:id="6" w:name="_Toc457645796"/>
    </w:p>
    <w:p w:rsidR="001C5C71" w:rsidRPr="001C5C71" w:rsidRDefault="001C5C71" w:rsidP="001C5C71">
      <w:pPr>
        <w:tabs>
          <w:tab w:val="left" w:pos="2127"/>
          <w:tab w:val="left" w:pos="4111"/>
          <w:tab w:val="left" w:pos="6663"/>
        </w:tabs>
        <w:contextualSpacing/>
        <w:rPr>
          <w:rFonts w:cs="Times New Roman"/>
          <w:noProof/>
          <w:szCs w:val="24"/>
          <w:lang w:eastAsia="id-ID"/>
        </w:rPr>
      </w:pPr>
      <w:r w:rsidRPr="001C5C71">
        <w:rPr>
          <w:rFonts w:cs="Times New Roman"/>
          <w:noProof/>
          <w:szCs w:val="24"/>
          <w:lang w:eastAsia="id-ID"/>
        </w:rPr>
        <w:tab/>
        <w:t>A</w:t>
      </w:r>
      <w:r w:rsidRPr="001C5C71">
        <w:rPr>
          <w:rFonts w:cs="Times New Roman"/>
          <w:noProof/>
          <w:szCs w:val="24"/>
          <w:lang w:eastAsia="id-ID"/>
        </w:rPr>
        <w:tab/>
        <w:t>B</w:t>
      </w:r>
      <w:r w:rsidRPr="001C5C71">
        <w:rPr>
          <w:rFonts w:cs="Times New Roman"/>
          <w:noProof/>
          <w:szCs w:val="24"/>
          <w:lang w:eastAsia="id-ID"/>
        </w:rPr>
        <w:tab/>
        <w:t>C</w:t>
      </w:r>
    </w:p>
    <w:p w:rsidR="001C5C71" w:rsidRPr="001C5C71" w:rsidRDefault="001C5C71" w:rsidP="001C5C71">
      <w:pPr>
        <w:spacing w:after="240"/>
        <w:contextualSpacing/>
        <w:rPr>
          <w:rFonts w:cs="Times New Roman"/>
        </w:rPr>
      </w:pPr>
      <w:r w:rsidRPr="001C5C71">
        <w:rPr>
          <w:rFonts w:cs="Times New Roman"/>
        </w:rPr>
        <w:t>Gambar 3. Struktur kimia (a) zerumbon, (b) α-humulen, dan (c) substrat (PNPG)</w:t>
      </w:r>
      <w:bookmarkEnd w:id="6"/>
    </w:p>
    <w:p w:rsidR="001C5C71" w:rsidRPr="001C5C71" w:rsidRDefault="001C5C71" w:rsidP="001C5C71">
      <w:pPr>
        <w:tabs>
          <w:tab w:val="left" w:pos="-3828"/>
        </w:tabs>
        <w:jc w:val="both"/>
        <w:rPr>
          <w:rFonts w:cs="Times New Roman"/>
          <w:szCs w:val="24"/>
          <w:lang w:eastAsia="ko-KR"/>
        </w:rPr>
      </w:pPr>
    </w:p>
    <w:p w:rsidR="001C5C71" w:rsidRPr="001C5C71" w:rsidRDefault="001C5C71" w:rsidP="001C5C71">
      <w:pPr>
        <w:tabs>
          <w:tab w:val="left" w:pos="-3828"/>
        </w:tabs>
        <w:spacing w:after="240" w:line="360" w:lineRule="auto"/>
        <w:jc w:val="both"/>
        <w:rPr>
          <w:rFonts w:cs="Times New Roman"/>
          <w:szCs w:val="24"/>
          <w:lang w:eastAsia="ko-KR"/>
        </w:rPr>
      </w:pPr>
      <w:r w:rsidRPr="001C5C71">
        <w:rPr>
          <w:rFonts w:cs="Times New Roman"/>
          <w:szCs w:val="24"/>
          <w:lang w:eastAsia="ko-KR"/>
        </w:rPr>
        <w:lastRenderedPageBreak/>
        <w:t>Inhibitor nonkompetitif</w:t>
      </w:r>
      <w:r w:rsidRPr="001C5C71">
        <w:rPr>
          <w:rFonts w:cs="Times New Roman"/>
          <w:szCs w:val="24"/>
          <w:lang w:val="en-US" w:eastAsia="ko-KR"/>
        </w:rPr>
        <w:t xml:space="preserve"> </w:t>
      </w:r>
      <w:r w:rsidRPr="001C5C71">
        <w:rPr>
          <w:rFonts w:cs="Times New Roman"/>
          <w:szCs w:val="24"/>
          <w:lang w:eastAsia="ko-KR"/>
        </w:rPr>
        <w:t>ditandai</w:t>
      </w:r>
      <w:r w:rsidRPr="001C5C71">
        <w:rPr>
          <w:rFonts w:cs="Times New Roman"/>
          <w:szCs w:val="24"/>
          <w:lang w:val="en-US" w:eastAsia="ko-KR"/>
        </w:rPr>
        <w:t xml:space="preserve"> </w:t>
      </w:r>
      <w:r w:rsidRPr="001C5C71">
        <w:rPr>
          <w:rFonts w:cs="Times New Roman"/>
          <w:szCs w:val="24"/>
          <w:lang w:eastAsia="ko-KR"/>
        </w:rPr>
        <w:t>dengan</w:t>
      </w:r>
      <w:r w:rsidRPr="001C5C71">
        <w:rPr>
          <w:rFonts w:cs="Times New Roman"/>
          <w:szCs w:val="24"/>
          <w:lang w:val="en-US" w:eastAsia="ko-KR"/>
        </w:rPr>
        <w:t xml:space="preserve"> </w:t>
      </w:r>
      <w:r w:rsidRPr="001C5C71">
        <w:rPr>
          <w:rFonts w:cs="Times New Roman"/>
          <w:szCs w:val="24"/>
          <w:lang w:eastAsia="ko-KR"/>
        </w:rPr>
        <w:t>perbedaan</w:t>
      </w:r>
      <w:r w:rsidRPr="001C5C71">
        <w:rPr>
          <w:rFonts w:cs="Times New Roman"/>
          <w:szCs w:val="24"/>
          <w:lang w:val="en-US" w:eastAsia="ko-KR"/>
        </w:rPr>
        <w:t xml:space="preserve"> </w:t>
      </w:r>
      <w:r w:rsidRPr="001C5C71">
        <w:rPr>
          <w:rFonts w:cs="Times New Roman"/>
          <w:szCs w:val="24"/>
          <w:lang w:eastAsia="ko-KR"/>
        </w:rPr>
        <w:t>struktur</w:t>
      </w:r>
      <w:r w:rsidRPr="001C5C71">
        <w:rPr>
          <w:rFonts w:cs="Times New Roman"/>
          <w:szCs w:val="24"/>
          <w:lang w:val="en-US" w:eastAsia="ko-KR"/>
        </w:rPr>
        <w:t xml:space="preserve"> </w:t>
      </w:r>
      <w:r w:rsidRPr="001C5C71">
        <w:rPr>
          <w:rFonts w:cs="Times New Roman"/>
          <w:szCs w:val="24"/>
          <w:lang w:eastAsia="ko-KR"/>
        </w:rPr>
        <w:t>antara inhibitor dengan</w:t>
      </w:r>
      <w:r w:rsidRPr="001C5C71">
        <w:rPr>
          <w:rFonts w:cs="Times New Roman"/>
          <w:szCs w:val="24"/>
          <w:lang w:val="en-US" w:eastAsia="ko-KR"/>
        </w:rPr>
        <w:t xml:space="preserve"> </w:t>
      </w:r>
      <w:r w:rsidRPr="001C5C71">
        <w:rPr>
          <w:rFonts w:cs="Times New Roman"/>
          <w:szCs w:val="24"/>
          <w:lang w:eastAsia="ko-KR"/>
        </w:rPr>
        <w:t>substrat</w:t>
      </w:r>
      <w:r w:rsidRPr="001C5C71">
        <w:rPr>
          <w:rFonts w:cs="Times New Roman"/>
          <w:szCs w:val="24"/>
          <w:lang w:val="en-US" w:eastAsia="ko-KR"/>
        </w:rPr>
        <w:t xml:space="preserve"> </w:t>
      </w:r>
      <w:r w:rsidRPr="001C5C71">
        <w:rPr>
          <w:rFonts w:cs="Times New Roman"/>
          <w:szCs w:val="24"/>
          <w:lang w:eastAsia="ko-KR"/>
        </w:rPr>
        <w:t>(Gambar 3) menyebabkan inhibitor mampu</w:t>
      </w:r>
      <w:r w:rsidRPr="001C5C71">
        <w:rPr>
          <w:rFonts w:cs="Times New Roman"/>
          <w:szCs w:val="24"/>
          <w:lang w:val="en-US" w:eastAsia="ko-KR"/>
        </w:rPr>
        <w:t xml:space="preserve"> </w:t>
      </w:r>
      <w:r w:rsidRPr="001C5C71">
        <w:rPr>
          <w:rFonts w:cs="Times New Roman"/>
          <w:szCs w:val="24"/>
          <w:lang w:eastAsia="ko-KR"/>
        </w:rPr>
        <w:t>berikatan</w:t>
      </w:r>
      <w:r w:rsidRPr="001C5C71">
        <w:rPr>
          <w:rFonts w:cs="Times New Roman"/>
          <w:szCs w:val="24"/>
          <w:lang w:val="en-US" w:eastAsia="ko-KR"/>
        </w:rPr>
        <w:t xml:space="preserve"> </w:t>
      </w:r>
      <w:r w:rsidRPr="001C5C71">
        <w:rPr>
          <w:rFonts w:cs="Times New Roman"/>
          <w:szCs w:val="24"/>
          <w:lang w:eastAsia="ko-KR"/>
        </w:rPr>
        <w:t>pada</w:t>
      </w:r>
      <w:r w:rsidRPr="001C5C71">
        <w:rPr>
          <w:rFonts w:cs="Times New Roman"/>
          <w:szCs w:val="24"/>
          <w:lang w:val="en-US" w:eastAsia="ko-KR"/>
        </w:rPr>
        <w:t xml:space="preserve"> </w:t>
      </w:r>
      <w:r w:rsidRPr="001C5C71">
        <w:rPr>
          <w:rFonts w:cs="Times New Roman"/>
          <w:szCs w:val="24"/>
          <w:lang w:eastAsia="ko-KR"/>
        </w:rPr>
        <w:t>sisi</w:t>
      </w:r>
      <w:r w:rsidRPr="001C5C71">
        <w:rPr>
          <w:rFonts w:cs="Times New Roman"/>
          <w:szCs w:val="24"/>
          <w:lang w:val="en-US" w:eastAsia="ko-KR"/>
        </w:rPr>
        <w:t xml:space="preserve"> </w:t>
      </w:r>
      <w:r w:rsidRPr="001C5C71">
        <w:rPr>
          <w:rFonts w:cs="Times New Roman"/>
          <w:szCs w:val="24"/>
          <w:lang w:eastAsia="ko-KR"/>
        </w:rPr>
        <w:t>aktif</w:t>
      </w:r>
      <w:r w:rsidRPr="001C5C71">
        <w:rPr>
          <w:rFonts w:cs="Times New Roman"/>
          <w:szCs w:val="24"/>
          <w:lang w:val="en-US" w:eastAsia="ko-KR"/>
        </w:rPr>
        <w:t xml:space="preserve"> </w:t>
      </w:r>
      <w:r w:rsidRPr="001C5C71">
        <w:rPr>
          <w:rFonts w:cs="Times New Roman"/>
          <w:szCs w:val="24"/>
          <w:lang w:eastAsia="ko-KR"/>
        </w:rPr>
        <w:t>enzim yang berbeda</w:t>
      </w:r>
      <w:r w:rsidRPr="001C5C71">
        <w:rPr>
          <w:rFonts w:cs="Times New Roman"/>
          <w:szCs w:val="24"/>
          <w:lang w:val="en-US" w:eastAsia="ko-KR"/>
        </w:rPr>
        <w:t xml:space="preserve"> </w:t>
      </w:r>
      <w:r w:rsidRPr="001C5C71">
        <w:rPr>
          <w:rFonts w:cs="Times New Roman"/>
          <w:szCs w:val="24"/>
          <w:lang w:eastAsia="ko-KR"/>
        </w:rPr>
        <w:t>dengan</w:t>
      </w:r>
      <w:r w:rsidRPr="001C5C71">
        <w:rPr>
          <w:rFonts w:cs="Times New Roman"/>
          <w:szCs w:val="24"/>
          <w:lang w:val="en-US" w:eastAsia="ko-KR"/>
        </w:rPr>
        <w:t xml:space="preserve"> </w:t>
      </w:r>
      <w:r w:rsidRPr="001C5C71">
        <w:rPr>
          <w:rFonts w:cs="Times New Roman"/>
          <w:szCs w:val="24"/>
          <w:lang w:eastAsia="ko-KR"/>
        </w:rPr>
        <w:t>ikatan</w:t>
      </w:r>
      <w:r w:rsidRPr="001C5C71">
        <w:rPr>
          <w:rFonts w:cs="Times New Roman"/>
          <w:szCs w:val="24"/>
          <w:lang w:val="en-US" w:eastAsia="ko-KR"/>
        </w:rPr>
        <w:t xml:space="preserve"> </w:t>
      </w:r>
      <w:r w:rsidRPr="001C5C71">
        <w:rPr>
          <w:rFonts w:cs="Times New Roman"/>
          <w:szCs w:val="24"/>
          <w:lang w:eastAsia="ko-KR"/>
        </w:rPr>
        <w:t>enzim-substra</w:t>
      </w:r>
      <w:r w:rsidRPr="001C5C71">
        <w:rPr>
          <w:rFonts w:cs="Times New Roman"/>
          <w:szCs w:val="24"/>
          <w:lang w:val="en-US" w:eastAsia="ko-KR"/>
        </w:rPr>
        <w:t xml:space="preserve"> </w:t>
      </w:r>
      <w:r w:rsidRPr="001C5C71">
        <w:rPr>
          <w:rFonts w:cs="Times New Roman"/>
          <w:szCs w:val="24"/>
          <w:lang w:eastAsia="ko-KR"/>
        </w:rPr>
        <w:t>tsehingga</w:t>
      </w:r>
      <w:r w:rsidRPr="001C5C71">
        <w:rPr>
          <w:rFonts w:cs="Times New Roman"/>
          <w:szCs w:val="24"/>
          <w:lang w:val="en-US" w:eastAsia="ko-KR"/>
        </w:rPr>
        <w:t xml:space="preserve"> </w:t>
      </w:r>
      <w:r w:rsidRPr="001C5C71">
        <w:rPr>
          <w:rFonts w:cs="Times New Roman"/>
          <w:szCs w:val="24"/>
          <w:lang w:eastAsia="ko-KR"/>
        </w:rPr>
        <w:t>tidak</w:t>
      </w:r>
      <w:r w:rsidRPr="001C5C71">
        <w:rPr>
          <w:rFonts w:cs="Times New Roman"/>
          <w:szCs w:val="24"/>
          <w:lang w:val="en-US" w:eastAsia="ko-KR"/>
        </w:rPr>
        <w:t xml:space="preserve"> </w:t>
      </w:r>
      <w:r w:rsidRPr="001C5C71">
        <w:rPr>
          <w:rFonts w:cs="Times New Roman"/>
          <w:szCs w:val="24"/>
          <w:lang w:eastAsia="ko-KR"/>
        </w:rPr>
        <w:t>mempengaruhi</w:t>
      </w:r>
      <w:r w:rsidRPr="001C5C71">
        <w:rPr>
          <w:rFonts w:cs="Times New Roman"/>
          <w:szCs w:val="24"/>
          <w:lang w:val="en-US" w:eastAsia="ko-KR"/>
        </w:rPr>
        <w:t xml:space="preserve"> </w:t>
      </w:r>
      <w:r w:rsidRPr="001C5C71">
        <w:rPr>
          <w:rFonts w:cs="Times New Roman"/>
          <w:szCs w:val="24"/>
          <w:lang w:eastAsia="ko-KR"/>
        </w:rPr>
        <w:t>nilai K</w:t>
      </w:r>
      <w:r w:rsidRPr="001C5C71">
        <w:rPr>
          <w:rFonts w:cs="Times New Roman"/>
          <w:szCs w:val="24"/>
          <w:vertAlign w:val="subscript"/>
          <w:lang w:eastAsia="ko-KR"/>
        </w:rPr>
        <w:t>AP</w:t>
      </w:r>
      <w:r w:rsidRPr="001C5C71">
        <w:rPr>
          <w:rFonts w:cs="Times New Roman"/>
          <w:szCs w:val="24"/>
          <w:lang w:eastAsia="ko-KR"/>
        </w:rPr>
        <w:t xml:space="preserve"> (Tabel 4).</w:t>
      </w:r>
      <w:r w:rsidRPr="001C5C71">
        <w:rPr>
          <w:rFonts w:cs="Times New Roman"/>
          <w:szCs w:val="24"/>
          <w:lang w:val="en-US" w:eastAsia="ko-KR"/>
        </w:rPr>
        <w:t xml:space="preserve"> </w:t>
      </w:r>
      <w:r w:rsidRPr="001C5C71">
        <w:rPr>
          <w:rFonts w:cs="Times New Roman"/>
          <w:szCs w:val="24"/>
          <w:lang w:eastAsia="ko-KR"/>
        </w:rPr>
        <w:t>Inhibitor non</w:t>
      </w:r>
      <w:r w:rsidRPr="001C5C71">
        <w:rPr>
          <w:rFonts w:cs="Times New Roman"/>
          <w:szCs w:val="24"/>
          <w:lang w:val="en-US" w:eastAsia="ko-KR"/>
        </w:rPr>
        <w:t xml:space="preserve"> </w:t>
      </w:r>
      <w:r w:rsidRPr="001C5C71">
        <w:rPr>
          <w:rFonts w:cs="Times New Roman"/>
          <w:szCs w:val="24"/>
          <w:lang w:eastAsia="ko-KR"/>
        </w:rPr>
        <w:t>kompetitif</w:t>
      </w:r>
      <w:r w:rsidRPr="001C5C71">
        <w:rPr>
          <w:rFonts w:cs="Times New Roman"/>
          <w:szCs w:val="24"/>
          <w:lang w:val="en-US" w:eastAsia="ko-KR"/>
        </w:rPr>
        <w:t xml:space="preserve"> </w:t>
      </w:r>
      <w:r w:rsidRPr="001C5C71">
        <w:rPr>
          <w:rFonts w:cs="Times New Roman"/>
          <w:szCs w:val="24"/>
          <w:lang w:eastAsia="ko-KR"/>
        </w:rPr>
        <w:t>mampu</w:t>
      </w:r>
      <w:r w:rsidRPr="001C5C71">
        <w:rPr>
          <w:rFonts w:cs="Times New Roman"/>
          <w:szCs w:val="24"/>
          <w:lang w:val="en-US" w:eastAsia="ko-KR"/>
        </w:rPr>
        <w:t xml:space="preserve"> </w:t>
      </w:r>
      <w:r w:rsidRPr="001C5C71">
        <w:rPr>
          <w:rFonts w:cs="Times New Roman"/>
          <w:szCs w:val="24"/>
          <w:lang w:eastAsia="ko-KR"/>
        </w:rPr>
        <w:t>membentuk</w:t>
      </w:r>
      <w:r w:rsidRPr="001C5C71">
        <w:rPr>
          <w:rFonts w:cs="Times New Roman"/>
          <w:szCs w:val="24"/>
          <w:lang w:val="en-US" w:eastAsia="ko-KR"/>
        </w:rPr>
        <w:t xml:space="preserve"> </w:t>
      </w:r>
      <w:r w:rsidRPr="001C5C71">
        <w:rPr>
          <w:rFonts w:cs="Times New Roman"/>
          <w:szCs w:val="24"/>
          <w:lang w:eastAsia="ko-KR"/>
        </w:rPr>
        <w:t>kompleks</w:t>
      </w:r>
      <w:r w:rsidRPr="001C5C71">
        <w:rPr>
          <w:rFonts w:cs="Times New Roman"/>
          <w:szCs w:val="24"/>
          <w:lang w:val="en-US" w:eastAsia="ko-KR"/>
        </w:rPr>
        <w:t xml:space="preserve"> </w:t>
      </w:r>
      <w:r w:rsidRPr="001C5C71">
        <w:rPr>
          <w:rFonts w:cs="Times New Roman"/>
          <w:szCs w:val="24"/>
          <w:lang w:eastAsia="ko-KR"/>
        </w:rPr>
        <w:t>enzim</w:t>
      </w:r>
      <w:r w:rsidRPr="001C5C71">
        <w:rPr>
          <w:rFonts w:cs="Times New Roman"/>
          <w:szCs w:val="24"/>
          <w:lang w:val="en-US" w:eastAsia="ko-KR"/>
        </w:rPr>
        <w:t xml:space="preserve"> </w:t>
      </w:r>
      <w:r w:rsidRPr="001C5C71">
        <w:rPr>
          <w:rFonts w:cs="Times New Roman"/>
          <w:szCs w:val="24"/>
          <w:lang w:eastAsia="ko-KR"/>
        </w:rPr>
        <w:t>-inhibitor maupun</w:t>
      </w:r>
      <w:r w:rsidRPr="001C5C71">
        <w:rPr>
          <w:rFonts w:cs="Times New Roman"/>
          <w:szCs w:val="24"/>
          <w:lang w:val="en-US" w:eastAsia="ko-KR"/>
        </w:rPr>
        <w:t xml:space="preserve"> </w:t>
      </w:r>
      <w:r w:rsidRPr="001C5C71">
        <w:rPr>
          <w:rFonts w:cs="Times New Roman"/>
          <w:szCs w:val="24"/>
          <w:lang w:eastAsia="ko-KR"/>
        </w:rPr>
        <w:t>enzim</w:t>
      </w:r>
      <w:r w:rsidRPr="001C5C71">
        <w:rPr>
          <w:rFonts w:cs="Times New Roman"/>
          <w:szCs w:val="24"/>
          <w:lang w:val="en-US" w:eastAsia="ko-KR"/>
        </w:rPr>
        <w:t xml:space="preserve"> </w:t>
      </w:r>
      <w:r w:rsidRPr="001C5C71">
        <w:rPr>
          <w:rFonts w:cs="Times New Roman"/>
          <w:szCs w:val="24"/>
          <w:lang w:eastAsia="ko-KR"/>
        </w:rPr>
        <w:t>-inhibitor-substrat</w:t>
      </w:r>
      <w:r w:rsidRPr="001C5C71">
        <w:rPr>
          <w:rFonts w:cs="Times New Roman"/>
          <w:szCs w:val="24"/>
          <w:lang w:val="en-US" w:eastAsia="ko-KR"/>
        </w:rPr>
        <w:t xml:space="preserve"> </w:t>
      </w:r>
      <w:r w:rsidRPr="001C5C71">
        <w:rPr>
          <w:rFonts w:cs="Times New Roman"/>
          <w:szCs w:val="24"/>
          <w:lang w:eastAsia="ko-KR"/>
        </w:rPr>
        <w:t>sehingga</w:t>
      </w:r>
      <w:r w:rsidRPr="001C5C71">
        <w:rPr>
          <w:rFonts w:cs="Times New Roman"/>
          <w:szCs w:val="24"/>
          <w:lang w:val="en-US" w:eastAsia="ko-KR"/>
        </w:rPr>
        <w:t xml:space="preserve"> </w:t>
      </w:r>
      <w:r w:rsidRPr="001C5C71">
        <w:rPr>
          <w:rFonts w:cs="Times New Roman"/>
          <w:szCs w:val="24"/>
          <w:lang w:eastAsia="ko-KR"/>
        </w:rPr>
        <w:t>terjadi</w:t>
      </w:r>
      <w:r w:rsidRPr="001C5C71">
        <w:rPr>
          <w:rFonts w:cs="Times New Roman"/>
          <w:szCs w:val="24"/>
          <w:lang w:val="en-US" w:eastAsia="ko-KR"/>
        </w:rPr>
        <w:t xml:space="preserve"> </w:t>
      </w:r>
      <w:r w:rsidRPr="001C5C71">
        <w:rPr>
          <w:rFonts w:cs="Times New Roman"/>
          <w:szCs w:val="24"/>
          <w:lang w:eastAsia="ko-KR"/>
        </w:rPr>
        <w:t>penurunan</w:t>
      </w:r>
      <w:r w:rsidRPr="001C5C71">
        <w:rPr>
          <w:rFonts w:cs="Times New Roman"/>
          <w:szCs w:val="24"/>
          <w:lang w:val="en-US" w:eastAsia="ko-KR"/>
        </w:rPr>
        <w:t xml:space="preserve"> </w:t>
      </w:r>
      <w:r w:rsidRPr="001C5C71">
        <w:rPr>
          <w:rFonts w:cs="Times New Roman"/>
          <w:szCs w:val="24"/>
          <w:lang w:eastAsia="ko-KR"/>
        </w:rPr>
        <w:t>nilai</w:t>
      </w:r>
      <w:r w:rsidRPr="001C5C71">
        <w:rPr>
          <w:rFonts w:cs="Times New Roman"/>
          <w:szCs w:val="24"/>
          <w:lang w:val="en-US" w:eastAsia="ko-KR"/>
        </w:rPr>
        <w:t xml:space="preserve"> </w:t>
      </w:r>
      <w:r w:rsidRPr="001C5C71">
        <w:rPr>
          <w:rFonts w:cs="Times New Roman"/>
          <w:szCs w:val="24"/>
        </w:rPr>
        <w:t>V</w:t>
      </w:r>
      <w:r w:rsidRPr="001C5C71">
        <w:rPr>
          <w:rFonts w:cs="Times New Roman"/>
          <w:szCs w:val="24"/>
          <w:vertAlign w:val="subscript"/>
        </w:rPr>
        <w:t>AP</w:t>
      </w:r>
      <w:r w:rsidRPr="001C5C71">
        <w:rPr>
          <w:rFonts w:cs="Times New Roman"/>
          <w:szCs w:val="24"/>
          <w:lang w:eastAsia="ko-KR"/>
        </w:rPr>
        <w:t xml:space="preserve"> (Rodwell</w:t>
      </w:r>
      <w:r w:rsidRPr="001C5C71">
        <w:rPr>
          <w:rFonts w:cs="Times New Roman"/>
          <w:i/>
          <w:szCs w:val="24"/>
          <w:lang w:eastAsia="ko-KR"/>
        </w:rPr>
        <w:t>et al</w:t>
      </w:r>
      <w:r w:rsidRPr="001C5C71">
        <w:rPr>
          <w:rFonts w:cs="Times New Roman"/>
          <w:szCs w:val="24"/>
          <w:lang w:eastAsia="ko-KR"/>
        </w:rPr>
        <w:t>., 2015).</w:t>
      </w:r>
    </w:p>
    <w:p w:rsidR="001C5C71" w:rsidRPr="001C5C71" w:rsidRDefault="001C5C71" w:rsidP="001C5C71">
      <w:pPr>
        <w:pStyle w:val="Caption"/>
        <w:spacing w:after="0" w:line="360" w:lineRule="auto"/>
        <w:jc w:val="center"/>
        <w:rPr>
          <w:rFonts w:ascii="Times New Roman" w:hAnsi="Times New Roman"/>
          <w:bCs w:val="0"/>
          <w:i/>
          <w:color w:val="auto"/>
          <w:sz w:val="24"/>
          <w:szCs w:val="20"/>
          <w:lang w:val="id-ID" w:eastAsia="ko-KR"/>
        </w:rPr>
      </w:pPr>
      <w:bookmarkStart w:id="7" w:name="_Toc457646196"/>
      <w:r w:rsidRPr="001C5C71">
        <w:rPr>
          <w:rFonts w:ascii="Times New Roman" w:hAnsi="Times New Roman"/>
          <w:color w:val="auto"/>
          <w:sz w:val="24"/>
          <w:szCs w:val="20"/>
        </w:rPr>
        <w:t>Tabel</w:t>
      </w:r>
      <w:r w:rsidRPr="001C5C71">
        <w:rPr>
          <w:rFonts w:ascii="Times New Roman" w:hAnsi="Times New Roman"/>
          <w:color w:val="auto"/>
          <w:sz w:val="24"/>
          <w:szCs w:val="20"/>
          <w:lang w:val="id-ID"/>
        </w:rPr>
        <w:t xml:space="preserve"> 4.</w:t>
      </w:r>
      <w:r w:rsidRPr="001C5C71">
        <w:rPr>
          <w:rFonts w:ascii="Times New Roman" w:hAnsi="Times New Roman"/>
          <w:color w:val="auto"/>
          <w:sz w:val="24"/>
          <w:szCs w:val="20"/>
          <w:lang w:val="id-ID" w:eastAsia="ko-KR"/>
        </w:rPr>
        <w:t>Nilai K</w:t>
      </w:r>
      <w:r w:rsidRPr="001C5C71">
        <w:rPr>
          <w:rFonts w:ascii="Times New Roman" w:hAnsi="Times New Roman"/>
          <w:color w:val="auto"/>
          <w:sz w:val="24"/>
          <w:szCs w:val="20"/>
          <w:vertAlign w:val="subscript"/>
          <w:lang w:val="id-ID" w:eastAsia="ko-KR"/>
        </w:rPr>
        <w:t>AP</w:t>
      </w:r>
      <w:r w:rsidRPr="001C5C71">
        <w:rPr>
          <w:rFonts w:ascii="Times New Roman" w:hAnsi="Times New Roman"/>
          <w:color w:val="auto"/>
          <w:sz w:val="24"/>
          <w:szCs w:val="20"/>
          <w:lang w:val="id-ID" w:eastAsia="ko-KR"/>
        </w:rPr>
        <w:t xml:space="preserve"> dan V</w:t>
      </w:r>
      <w:bookmarkEnd w:id="7"/>
      <w:r w:rsidRPr="001C5C71">
        <w:rPr>
          <w:rFonts w:ascii="Times New Roman" w:hAnsi="Times New Roman"/>
          <w:color w:val="auto"/>
          <w:sz w:val="24"/>
          <w:szCs w:val="20"/>
          <w:vertAlign w:val="subscript"/>
          <w:lang w:val="id-ID" w:eastAsia="ko-KR"/>
        </w:rPr>
        <w:t>AP</w:t>
      </w:r>
    </w:p>
    <w:tbl>
      <w:tblPr>
        <w:tblW w:w="6418" w:type="dxa"/>
        <w:jc w:val="center"/>
        <w:tblInd w:w="93" w:type="dxa"/>
        <w:tblLook w:val="04A0"/>
      </w:tblPr>
      <w:tblGrid>
        <w:gridCol w:w="1919"/>
        <w:gridCol w:w="960"/>
        <w:gridCol w:w="960"/>
        <w:gridCol w:w="1421"/>
        <w:gridCol w:w="1158"/>
      </w:tblGrid>
      <w:tr w:rsidR="001C5C71" w:rsidRPr="001C5C71" w:rsidTr="001D325A">
        <w:trPr>
          <w:trHeight w:val="300"/>
          <w:jc w:val="center"/>
        </w:trPr>
        <w:tc>
          <w:tcPr>
            <w:tcW w:w="1919" w:type="dxa"/>
            <w:tcBorders>
              <w:top w:val="single" w:sz="4" w:space="0" w:color="auto"/>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 Reaksi</w:t>
            </w:r>
          </w:p>
        </w:tc>
        <w:tc>
          <w:tcPr>
            <w:tcW w:w="960" w:type="dxa"/>
            <w:tcBorders>
              <w:top w:val="single" w:sz="4" w:space="0" w:color="auto"/>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a</w:t>
            </w:r>
          </w:p>
        </w:tc>
        <w:tc>
          <w:tcPr>
            <w:tcW w:w="960" w:type="dxa"/>
            <w:tcBorders>
              <w:top w:val="single" w:sz="4" w:space="0" w:color="auto"/>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b</w:t>
            </w:r>
          </w:p>
        </w:tc>
        <w:tc>
          <w:tcPr>
            <w:tcW w:w="1421" w:type="dxa"/>
            <w:tcBorders>
              <w:top w:val="single" w:sz="4" w:space="0" w:color="auto"/>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K</w:t>
            </w:r>
            <w:r w:rsidRPr="001C5C71">
              <w:rPr>
                <w:rFonts w:eastAsia="Times New Roman" w:cs="Times New Roman"/>
                <w:color w:val="000000"/>
                <w:vertAlign w:val="subscript"/>
                <w:lang w:eastAsia="id-ID"/>
              </w:rPr>
              <w:t>AP</w:t>
            </w:r>
            <w:r w:rsidRPr="001C5C71">
              <w:rPr>
                <w:rFonts w:eastAsia="Times New Roman" w:cs="Times New Roman"/>
                <w:color w:val="000000"/>
                <w:lang w:eastAsia="id-ID"/>
              </w:rPr>
              <w:t xml:space="preserve"> (b/a)</w:t>
            </w:r>
          </w:p>
        </w:tc>
        <w:tc>
          <w:tcPr>
            <w:tcW w:w="1158" w:type="dxa"/>
            <w:tcBorders>
              <w:top w:val="single" w:sz="4" w:space="0" w:color="auto"/>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cs="Times New Roman"/>
                <w:bCs/>
                <w:lang w:eastAsia="ko-KR"/>
              </w:rPr>
              <w:t>V</w:t>
            </w:r>
            <w:r w:rsidRPr="001C5C71">
              <w:rPr>
                <w:rFonts w:cs="Times New Roman"/>
                <w:bCs/>
                <w:vertAlign w:val="subscript"/>
                <w:lang w:eastAsia="ko-KR"/>
              </w:rPr>
              <w:t>AP</w:t>
            </w:r>
            <w:r w:rsidRPr="001C5C71">
              <w:rPr>
                <w:rFonts w:eastAsia="Times New Roman" w:cs="Times New Roman"/>
                <w:color w:val="000000"/>
                <w:lang w:eastAsia="id-ID"/>
              </w:rPr>
              <w:t xml:space="preserve"> (1/a)</w:t>
            </w:r>
          </w:p>
        </w:tc>
      </w:tr>
      <w:tr w:rsidR="001C5C71" w:rsidRPr="001C5C71" w:rsidTr="001D325A">
        <w:trPr>
          <w:trHeight w:val="300"/>
          <w:jc w:val="center"/>
        </w:trPr>
        <w:tc>
          <w:tcPr>
            <w:tcW w:w="1919" w:type="dxa"/>
            <w:tcBorders>
              <w:top w:val="nil"/>
              <w:left w:val="nil"/>
              <w:bottom w:val="nil"/>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Tanpa inhibitor</w:t>
            </w:r>
          </w:p>
        </w:tc>
        <w:tc>
          <w:tcPr>
            <w:tcW w:w="960" w:type="dxa"/>
            <w:tcBorders>
              <w:top w:val="nil"/>
              <w:left w:val="nil"/>
              <w:bottom w:val="nil"/>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0,0039</w:t>
            </w:r>
          </w:p>
        </w:tc>
        <w:tc>
          <w:tcPr>
            <w:tcW w:w="960" w:type="dxa"/>
            <w:tcBorders>
              <w:top w:val="nil"/>
              <w:left w:val="nil"/>
              <w:bottom w:val="nil"/>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0,0031</w:t>
            </w:r>
          </w:p>
        </w:tc>
        <w:tc>
          <w:tcPr>
            <w:tcW w:w="1421" w:type="dxa"/>
            <w:tcBorders>
              <w:top w:val="nil"/>
              <w:left w:val="nil"/>
              <w:bottom w:val="nil"/>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0,794872</w:t>
            </w:r>
          </w:p>
        </w:tc>
        <w:tc>
          <w:tcPr>
            <w:tcW w:w="1158" w:type="dxa"/>
            <w:tcBorders>
              <w:top w:val="nil"/>
              <w:left w:val="nil"/>
              <w:bottom w:val="nil"/>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256,4103</w:t>
            </w:r>
          </w:p>
        </w:tc>
      </w:tr>
      <w:tr w:rsidR="001C5C71" w:rsidRPr="001C5C71" w:rsidTr="001D325A">
        <w:trPr>
          <w:trHeight w:val="300"/>
          <w:jc w:val="center"/>
        </w:trPr>
        <w:tc>
          <w:tcPr>
            <w:tcW w:w="1919" w:type="dxa"/>
            <w:tcBorders>
              <w:top w:val="nil"/>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Dengan inhibitor</w:t>
            </w:r>
          </w:p>
        </w:tc>
        <w:tc>
          <w:tcPr>
            <w:tcW w:w="960" w:type="dxa"/>
            <w:tcBorders>
              <w:top w:val="nil"/>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0,0060</w:t>
            </w:r>
          </w:p>
        </w:tc>
        <w:tc>
          <w:tcPr>
            <w:tcW w:w="960" w:type="dxa"/>
            <w:tcBorders>
              <w:top w:val="nil"/>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0,0048</w:t>
            </w:r>
          </w:p>
        </w:tc>
        <w:tc>
          <w:tcPr>
            <w:tcW w:w="1421" w:type="dxa"/>
            <w:tcBorders>
              <w:top w:val="nil"/>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0,8</w:t>
            </w:r>
          </w:p>
        </w:tc>
        <w:tc>
          <w:tcPr>
            <w:tcW w:w="1158" w:type="dxa"/>
            <w:tcBorders>
              <w:top w:val="nil"/>
              <w:left w:val="nil"/>
              <w:bottom w:val="single" w:sz="4" w:space="0" w:color="auto"/>
              <w:right w:val="nil"/>
            </w:tcBorders>
            <w:shd w:val="clear" w:color="auto" w:fill="auto"/>
            <w:noWrap/>
            <w:vAlign w:val="bottom"/>
            <w:hideMark/>
          </w:tcPr>
          <w:p w:rsidR="001C5C71" w:rsidRPr="001C5C71" w:rsidRDefault="001C5C71" w:rsidP="001D325A">
            <w:pPr>
              <w:rPr>
                <w:rFonts w:eastAsia="Times New Roman" w:cs="Times New Roman"/>
                <w:color w:val="000000"/>
                <w:lang w:eastAsia="id-ID"/>
              </w:rPr>
            </w:pPr>
            <w:r w:rsidRPr="001C5C71">
              <w:rPr>
                <w:rFonts w:eastAsia="Times New Roman" w:cs="Times New Roman"/>
                <w:color w:val="000000"/>
                <w:lang w:eastAsia="id-ID"/>
              </w:rPr>
              <w:t>166,6667</w:t>
            </w:r>
          </w:p>
        </w:tc>
      </w:tr>
    </w:tbl>
    <w:p w:rsidR="001C5C71" w:rsidRPr="001C5C71" w:rsidRDefault="001C5C71" w:rsidP="001C5C71">
      <w:pPr>
        <w:pStyle w:val="ListParagraph"/>
        <w:spacing w:after="0" w:line="360" w:lineRule="auto"/>
        <w:ind w:left="0"/>
        <w:jc w:val="both"/>
        <w:rPr>
          <w:rFonts w:ascii="Times New Roman" w:hAnsi="Times New Roman" w:cs="Times New Roman"/>
          <w:b/>
          <w:szCs w:val="28"/>
          <w:lang w:val="id-ID"/>
        </w:rPr>
      </w:pPr>
    </w:p>
    <w:p w:rsidR="001C5C71" w:rsidRDefault="001C5C71" w:rsidP="001C5C71">
      <w:pPr>
        <w:pStyle w:val="ListParagraph"/>
        <w:spacing w:after="0" w:line="360" w:lineRule="auto"/>
        <w:ind w:left="0"/>
        <w:jc w:val="center"/>
        <w:rPr>
          <w:rFonts w:ascii="Times New Roman" w:hAnsi="Times New Roman" w:cs="Times New Roman"/>
          <w:b/>
          <w:szCs w:val="28"/>
          <w:lang w:val="id-ID"/>
        </w:rPr>
        <w:sectPr w:rsidR="001C5C71" w:rsidSect="001C5C71">
          <w:type w:val="continuous"/>
          <w:pgSz w:w="11906" w:h="16838"/>
          <w:pgMar w:top="2268" w:right="1701" w:bottom="1701" w:left="2268" w:header="709" w:footer="709" w:gutter="0"/>
          <w:cols w:space="708"/>
          <w:docGrid w:linePitch="360"/>
        </w:sectPr>
      </w:pPr>
    </w:p>
    <w:p w:rsidR="001C5C71" w:rsidRPr="001C5C71" w:rsidRDefault="001C5C71" w:rsidP="001C5C71">
      <w:pPr>
        <w:pStyle w:val="ListParagraph"/>
        <w:spacing w:after="0" w:line="360" w:lineRule="auto"/>
        <w:ind w:left="0"/>
        <w:jc w:val="center"/>
        <w:rPr>
          <w:rFonts w:ascii="Times New Roman" w:hAnsi="Times New Roman" w:cs="Times New Roman"/>
          <w:b/>
          <w:szCs w:val="28"/>
          <w:lang w:val="id-ID"/>
        </w:rPr>
      </w:pPr>
      <w:r w:rsidRPr="001C5C71">
        <w:rPr>
          <w:rFonts w:ascii="Times New Roman" w:hAnsi="Times New Roman" w:cs="Times New Roman"/>
          <w:b/>
          <w:szCs w:val="28"/>
          <w:lang w:val="id-ID"/>
        </w:rPr>
        <w:lastRenderedPageBreak/>
        <w:t>SIMPULAN</w:t>
      </w:r>
    </w:p>
    <w:p w:rsidR="001C5C71" w:rsidRPr="001C5C71" w:rsidRDefault="001C5C71" w:rsidP="001C5C71">
      <w:pPr>
        <w:pStyle w:val="ListParagraph"/>
        <w:spacing w:line="360" w:lineRule="auto"/>
        <w:ind w:left="0" w:firstLine="284"/>
        <w:jc w:val="both"/>
        <w:rPr>
          <w:rFonts w:ascii="Times New Roman" w:hAnsi="Times New Roman" w:cs="Times New Roman"/>
          <w:szCs w:val="24"/>
          <w:lang w:val="id-ID" w:eastAsia="ko-KR"/>
        </w:rPr>
      </w:pPr>
      <w:r w:rsidRPr="001C5C71">
        <w:rPr>
          <w:rFonts w:ascii="Times New Roman" w:hAnsi="Times New Roman" w:cs="Times New Roman"/>
          <w:szCs w:val="24"/>
          <w:lang w:val="id-ID" w:eastAsia="ko-KR"/>
        </w:rPr>
        <w:t xml:space="preserve">Ekstrak etanol rimpang lempuyang emprit mampu menghambat aktivitas enzim α-glukosidase secara </w:t>
      </w:r>
      <w:r w:rsidRPr="001C5C71">
        <w:rPr>
          <w:rFonts w:ascii="Times New Roman" w:hAnsi="Times New Roman" w:cs="Times New Roman"/>
          <w:i/>
          <w:szCs w:val="24"/>
          <w:lang w:val="id-ID" w:eastAsia="ko-KR"/>
        </w:rPr>
        <w:t>in vitro</w:t>
      </w:r>
      <w:r w:rsidRPr="001C5C71">
        <w:rPr>
          <w:rFonts w:ascii="Times New Roman" w:hAnsi="Times New Roman" w:cs="Times New Roman"/>
          <w:szCs w:val="24"/>
          <w:lang w:val="id-ID" w:eastAsia="ko-KR"/>
        </w:rPr>
        <w:t xml:space="preserve"> dengan nilai IC</w:t>
      </w:r>
      <w:r w:rsidRPr="001C5C71">
        <w:rPr>
          <w:rFonts w:ascii="Times New Roman" w:hAnsi="Times New Roman" w:cs="Times New Roman"/>
          <w:szCs w:val="24"/>
          <w:vertAlign w:val="subscript"/>
          <w:lang w:val="id-ID" w:eastAsia="ko-KR"/>
        </w:rPr>
        <w:t>50</w:t>
      </w:r>
      <w:r w:rsidRPr="001C5C71">
        <w:rPr>
          <w:rFonts w:ascii="Times New Roman" w:hAnsi="Times New Roman" w:cs="Times New Roman"/>
          <w:lang w:val="id-ID" w:eastAsia="id-ID"/>
        </w:rPr>
        <w:t>166,933±13,894</w:t>
      </w:r>
      <w:r w:rsidRPr="001C5C71">
        <w:rPr>
          <w:rFonts w:ascii="Times New Roman" w:hAnsi="Times New Roman" w:cs="Times New Roman"/>
          <w:szCs w:val="24"/>
          <w:lang w:val="id-ID" w:eastAsia="ko-KR"/>
        </w:rPr>
        <w:t>µg/mL</w:t>
      </w:r>
      <w:r w:rsidRPr="001C5C71">
        <w:rPr>
          <w:rFonts w:ascii="Times New Roman" w:hAnsi="Times New Roman" w:cs="Times New Roman"/>
          <w:i/>
          <w:szCs w:val="24"/>
          <w:lang w:val="id-ID" w:eastAsia="ko-KR"/>
        </w:rPr>
        <w:t>.</w:t>
      </w:r>
      <w:r w:rsidRPr="001C5C71">
        <w:rPr>
          <w:rFonts w:ascii="Times New Roman" w:hAnsi="Times New Roman" w:cs="Times New Roman"/>
          <w:szCs w:val="24"/>
          <w:lang w:val="id-ID" w:eastAsia="ko-KR"/>
        </w:rPr>
        <w:t>Ekstrak etanol rimpang lempuyang emprit merupakan inhibitor nonkompetitif.</w:t>
      </w:r>
    </w:p>
    <w:bookmarkEnd w:id="5"/>
    <w:p w:rsidR="001C5C71" w:rsidRPr="001C5C71" w:rsidRDefault="001C5C71" w:rsidP="00ED7000">
      <w:pPr>
        <w:pStyle w:val="ListParagraph"/>
        <w:spacing w:line="360" w:lineRule="auto"/>
        <w:ind w:left="0"/>
        <w:jc w:val="center"/>
        <w:rPr>
          <w:rFonts w:ascii="Times New Roman" w:hAnsi="Times New Roman" w:cs="Times New Roman"/>
          <w:b/>
          <w:szCs w:val="24"/>
        </w:rPr>
      </w:pPr>
    </w:p>
    <w:p w:rsidR="004E3A98" w:rsidRPr="001C5C71" w:rsidRDefault="001538EB" w:rsidP="00ED7000">
      <w:pPr>
        <w:pStyle w:val="ListParagraph"/>
        <w:spacing w:line="360" w:lineRule="auto"/>
        <w:ind w:left="0"/>
        <w:jc w:val="center"/>
        <w:rPr>
          <w:rFonts w:ascii="Times New Roman" w:hAnsi="Times New Roman" w:cs="Times New Roman"/>
          <w:b/>
          <w:szCs w:val="24"/>
          <w:lang w:val="id-ID"/>
        </w:rPr>
      </w:pPr>
      <w:r w:rsidRPr="001C5C71">
        <w:rPr>
          <w:rFonts w:ascii="Times New Roman" w:hAnsi="Times New Roman" w:cs="Times New Roman"/>
          <w:b/>
          <w:szCs w:val="24"/>
          <w:lang w:val="id-ID"/>
        </w:rPr>
        <w:t>UCAPAN TERIMA KASIH</w:t>
      </w:r>
    </w:p>
    <w:p w:rsidR="004E3A98" w:rsidRPr="001C5C71" w:rsidRDefault="001538EB" w:rsidP="00ED7000">
      <w:pPr>
        <w:pStyle w:val="ListParagraph"/>
        <w:spacing w:after="0" w:line="360" w:lineRule="auto"/>
        <w:ind w:left="0" w:firstLine="284"/>
        <w:jc w:val="both"/>
        <w:rPr>
          <w:rFonts w:ascii="Times New Roman" w:hAnsi="Times New Roman" w:cs="Times New Roman"/>
          <w:szCs w:val="24"/>
          <w:lang w:val="id-ID"/>
        </w:rPr>
      </w:pPr>
      <w:r w:rsidRPr="001C5C71">
        <w:rPr>
          <w:rFonts w:ascii="Times New Roman" w:hAnsi="Times New Roman" w:cs="Times New Roman"/>
          <w:szCs w:val="24"/>
          <w:lang w:val="id-ID"/>
        </w:rPr>
        <w:t xml:space="preserve">Terima kasih penulis ucapkan kepada pembimbing skripsi </w:t>
      </w:r>
      <w:r w:rsidR="00391B15" w:rsidRPr="001C5C71">
        <w:rPr>
          <w:rFonts w:ascii="Times New Roman" w:hAnsi="Times New Roman" w:cs="Times New Roman"/>
          <w:szCs w:val="24"/>
          <w:lang w:val="id-ID"/>
        </w:rPr>
        <w:t xml:space="preserve">Bapak Dedi Hanwar, M.Si., Apt. dan Bapak Andi Suhendi, M.Sc. Apt. </w:t>
      </w:r>
      <w:r w:rsidRPr="001C5C71">
        <w:rPr>
          <w:rFonts w:ascii="Times New Roman" w:hAnsi="Times New Roman" w:cs="Times New Roman"/>
          <w:szCs w:val="24"/>
          <w:lang w:val="id-ID"/>
        </w:rPr>
        <w:t xml:space="preserve">yang telah membimbing, mengarahkan dan membantu penulis dalam penyelesaian </w:t>
      </w:r>
      <w:r w:rsidR="00391B15" w:rsidRPr="001C5C71">
        <w:rPr>
          <w:rFonts w:ascii="Times New Roman" w:hAnsi="Times New Roman" w:cs="Times New Roman"/>
          <w:szCs w:val="24"/>
          <w:lang w:val="id-ID"/>
        </w:rPr>
        <w:t>penelitian</w:t>
      </w:r>
      <w:r w:rsidRPr="001C5C71">
        <w:rPr>
          <w:rFonts w:ascii="Times New Roman" w:hAnsi="Times New Roman" w:cs="Times New Roman"/>
          <w:szCs w:val="24"/>
          <w:lang w:val="id-ID"/>
        </w:rPr>
        <w:t xml:space="preserve"> ini.</w:t>
      </w:r>
    </w:p>
    <w:p w:rsidR="004E3A98" w:rsidRPr="001C5C71" w:rsidRDefault="004E3A98" w:rsidP="00ED7000">
      <w:pPr>
        <w:pStyle w:val="ListParagraph"/>
        <w:spacing w:line="360" w:lineRule="auto"/>
        <w:ind w:left="0" w:firstLine="284"/>
        <w:jc w:val="both"/>
        <w:rPr>
          <w:rFonts w:ascii="Times New Roman" w:hAnsi="Times New Roman" w:cs="Times New Roman"/>
          <w:szCs w:val="24"/>
          <w:lang w:val="id-ID"/>
        </w:rPr>
      </w:pPr>
    </w:p>
    <w:p w:rsidR="001538EB" w:rsidRPr="001C5C71" w:rsidRDefault="001538EB" w:rsidP="00ED7000">
      <w:pPr>
        <w:pStyle w:val="ListParagraph"/>
        <w:spacing w:after="0" w:line="360" w:lineRule="auto"/>
        <w:ind w:left="0"/>
        <w:jc w:val="center"/>
        <w:rPr>
          <w:rFonts w:ascii="Times New Roman" w:hAnsi="Times New Roman" w:cs="Times New Roman"/>
          <w:b/>
          <w:szCs w:val="24"/>
          <w:lang w:val="id-ID"/>
        </w:rPr>
      </w:pPr>
      <w:r w:rsidRPr="001C5C71">
        <w:rPr>
          <w:rFonts w:ascii="Times New Roman" w:hAnsi="Times New Roman" w:cs="Times New Roman"/>
          <w:b/>
          <w:szCs w:val="24"/>
          <w:lang w:val="id-ID"/>
        </w:rPr>
        <w:lastRenderedPageBreak/>
        <w:t>DAFTAR PUSTAKA</w:t>
      </w:r>
    </w:p>
    <w:p w:rsidR="0005601B" w:rsidRPr="001C5C71" w:rsidRDefault="0005601B" w:rsidP="00ED7000">
      <w:pPr>
        <w:widowControl w:val="0"/>
        <w:autoSpaceDE w:val="0"/>
        <w:autoSpaceDN w:val="0"/>
        <w:adjustRightInd w:val="0"/>
        <w:spacing w:after="0" w:line="360" w:lineRule="auto"/>
        <w:ind w:left="480" w:hanging="480"/>
        <w:jc w:val="both"/>
        <w:rPr>
          <w:rFonts w:cs="Times New Roman"/>
          <w:szCs w:val="24"/>
          <w:lang w:eastAsia="id-ID"/>
        </w:rPr>
      </w:pPr>
      <w:r w:rsidRPr="001C5C71">
        <w:rPr>
          <w:rFonts w:cs="Times New Roman"/>
          <w:szCs w:val="24"/>
          <w:lang w:eastAsia="id-ID"/>
        </w:rPr>
        <w:t xml:space="preserve">Ajish K., Antu K., Riya M., Preetharani M., Raghu K., Dhanya B., and Radhakrishnan K., 2014, Studies on alpha-glucosidase, aldose reductase and glycation inhibitory properties of sesquiterpenes and flavonoids of </w:t>
      </w:r>
      <w:r w:rsidRPr="001C5C71">
        <w:rPr>
          <w:rFonts w:cs="Times New Roman"/>
          <w:i/>
          <w:szCs w:val="24"/>
          <w:lang w:eastAsia="id-ID"/>
        </w:rPr>
        <w:t>Zingiber zerumbet</w:t>
      </w:r>
      <w:r w:rsidRPr="001C5C71">
        <w:rPr>
          <w:rFonts w:cs="Times New Roman"/>
          <w:szCs w:val="24"/>
          <w:lang w:eastAsia="id-ID"/>
        </w:rPr>
        <w:t xml:space="preserve"> Smith, </w:t>
      </w:r>
      <w:r w:rsidRPr="001C5C71">
        <w:rPr>
          <w:rFonts w:cs="Times New Roman"/>
          <w:i/>
          <w:szCs w:val="24"/>
          <w:lang w:eastAsia="id-ID"/>
        </w:rPr>
        <w:t>Natural Product Research</w:t>
      </w:r>
      <w:r w:rsidRPr="001C5C71">
        <w:rPr>
          <w:rFonts w:cs="Times New Roman"/>
          <w:szCs w:val="24"/>
          <w:lang w:eastAsia="id-ID"/>
        </w:rPr>
        <w:t>,9, 1–6.</w:t>
      </w:r>
    </w:p>
    <w:p w:rsidR="0005601B" w:rsidRPr="001C5C71" w:rsidRDefault="0005601B" w:rsidP="00ED7000">
      <w:pPr>
        <w:spacing w:line="360" w:lineRule="auto"/>
        <w:ind w:left="709" w:hanging="709"/>
        <w:jc w:val="both"/>
        <w:rPr>
          <w:rFonts w:cs="Times New Roman"/>
          <w:szCs w:val="24"/>
          <w:lang w:eastAsia="id-ID"/>
        </w:rPr>
      </w:pPr>
      <w:r w:rsidRPr="001C5C71">
        <w:rPr>
          <w:rFonts w:cs="Times New Roman"/>
          <w:szCs w:val="24"/>
          <w:lang w:eastAsia="id-ID"/>
        </w:rPr>
        <w:t xml:space="preserve">Elya B., Basah K., Mun’im A.,Yuliastuti W.,BangunA., and Septiana E.K., 2011, Screening of α-Glucosidase Inhibitory Activity fromSome Plants of </w:t>
      </w:r>
      <w:r w:rsidRPr="001C5C71">
        <w:rPr>
          <w:rFonts w:cs="Times New Roman"/>
          <w:i/>
          <w:szCs w:val="24"/>
          <w:lang w:eastAsia="id-ID"/>
        </w:rPr>
        <w:t>Apocynaceae, Clusiaceae, Euphorbiaceae, and Rubiaceae</w:t>
      </w:r>
      <w:r w:rsidRPr="001C5C71">
        <w:rPr>
          <w:rFonts w:cs="Times New Roman"/>
          <w:szCs w:val="24"/>
          <w:lang w:eastAsia="id-ID"/>
        </w:rPr>
        <w:t xml:space="preserve">, </w:t>
      </w:r>
      <w:r w:rsidRPr="001C5C71">
        <w:rPr>
          <w:rFonts w:cs="Times New Roman"/>
          <w:i/>
          <w:szCs w:val="24"/>
          <w:lang w:eastAsia="id-ID"/>
        </w:rPr>
        <w:t xml:space="preserve">Journal of </w:t>
      </w:r>
      <w:r w:rsidRPr="001C5C71">
        <w:rPr>
          <w:rFonts w:cs="Times New Roman"/>
          <w:i/>
          <w:szCs w:val="24"/>
          <w:lang w:eastAsia="id-ID"/>
        </w:rPr>
        <w:lastRenderedPageBreak/>
        <w:t>Biomedicine and Biotechnology</w:t>
      </w:r>
      <w:r w:rsidRPr="001C5C71">
        <w:rPr>
          <w:rFonts w:cs="Times New Roman"/>
          <w:szCs w:val="24"/>
          <w:lang w:eastAsia="id-ID"/>
        </w:rPr>
        <w:t>, 2012, 3.</w:t>
      </w:r>
    </w:p>
    <w:p w:rsidR="0005601B" w:rsidRPr="001C5C71" w:rsidRDefault="0005601B" w:rsidP="00ED7000">
      <w:pPr>
        <w:spacing w:line="360" w:lineRule="auto"/>
        <w:ind w:left="709" w:hanging="709"/>
        <w:jc w:val="both"/>
        <w:rPr>
          <w:rFonts w:cs="Times New Roman"/>
          <w:szCs w:val="24"/>
          <w:lang w:eastAsia="id-ID"/>
        </w:rPr>
      </w:pPr>
      <w:r w:rsidRPr="001C5C71">
        <w:rPr>
          <w:rFonts w:cs="Times New Roman"/>
          <w:szCs w:val="24"/>
          <w:lang w:eastAsia="id-ID"/>
        </w:rPr>
        <w:t xml:space="preserve">IDF, 2014, </w:t>
      </w:r>
      <w:r w:rsidRPr="001C5C71">
        <w:rPr>
          <w:rFonts w:cs="Times New Roman"/>
          <w:i/>
          <w:szCs w:val="24"/>
          <w:lang w:eastAsia="id-ID"/>
        </w:rPr>
        <w:t>IDF Diabetes Atlas 6th edition</w:t>
      </w:r>
      <w:r w:rsidRPr="001C5C71">
        <w:rPr>
          <w:rFonts w:cs="Times New Roman"/>
          <w:szCs w:val="24"/>
          <w:lang w:eastAsia="id-ID"/>
        </w:rPr>
        <w:t xml:space="preserve">, </w:t>
      </w:r>
      <w:r w:rsidRPr="001C5C71">
        <w:rPr>
          <w:rFonts w:cs="Times New Roman"/>
          <w:i/>
          <w:szCs w:val="24"/>
          <w:lang w:eastAsia="id-ID"/>
        </w:rPr>
        <w:t xml:space="preserve">International Diabetes Federation, </w:t>
      </w:r>
      <w:r w:rsidRPr="001C5C71">
        <w:rPr>
          <w:rFonts w:cs="Times New Roman"/>
          <w:szCs w:val="24"/>
          <w:lang w:eastAsia="id-ID"/>
        </w:rPr>
        <w:t>2014 Update, 11-34.</w:t>
      </w:r>
    </w:p>
    <w:p w:rsidR="0005601B" w:rsidRPr="001C5C71" w:rsidRDefault="0005601B" w:rsidP="00ED7000">
      <w:pPr>
        <w:spacing w:line="360" w:lineRule="auto"/>
        <w:ind w:left="709" w:hanging="709"/>
        <w:jc w:val="both"/>
        <w:rPr>
          <w:rFonts w:cs="Times New Roman"/>
          <w:szCs w:val="24"/>
          <w:lang w:eastAsia="id-ID"/>
        </w:rPr>
      </w:pPr>
      <w:r w:rsidRPr="001C5C71">
        <w:rPr>
          <w:rFonts w:cs="Times New Roman"/>
          <w:szCs w:val="24"/>
          <w:lang w:eastAsia="id-ID"/>
        </w:rPr>
        <w:t xml:space="preserve">IDF, 2015, </w:t>
      </w:r>
      <w:r w:rsidRPr="001C5C71">
        <w:rPr>
          <w:rFonts w:cs="Times New Roman"/>
          <w:i/>
          <w:szCs w:val="24"/>
          <w:lang w:eastAsia="id-ID"/>
        </w:rPr>
        <w:t>IDF Diabetes Atlas 7th edition</w:t>
      </w:r>
      <w:r w:rsidRPr="001C5C71">
        <w:rPr>
          <w:rFonts w:cs="Times New Roman"/>
          <w:szCs w:val="24"/>
          <w:lang w:eastAsia="id-ID"/>
        </w:rPr>
        <w:t xml:space="preserve">, </w:t>
      </w:r>
      <w:r w:rsidRPr="001C5C71">
        <w:rPr>
          <w:rFonts w:cs="Times New Roman"/>
          <w:i/>
          <w:szCs w:val="24"/>
          <w:lang w:eastAsia="id-ID"/>
        </w:rPr>
        <w:t xml:space="preserve">International Diabetes Federation, </w:t>
      </w:r>
      <w:r w:rsidRPr="001C5C71">
        <w:rPr>
          <w:rFonts w:cs="Times New Roman"/>
          <w:szCs w:val="24"/>
          <w:lang w:eastAsia="id-ID"/>
        </w:rPr>
        <w:t>2015 Update, 13-52.</w:t>
      </w:r>
    </w:p>
    <w:p w:rsidR="0005601B" w:rsidRPr="001C5C71" w:rsidRDefault="0005601B" w:rsidP="00ED7000">
      <w:pPr>
        <w:spacing w:line="360" w:lineRule="auto"/>
        <w:ind w:left="709" w:hanging="709"/>
        <w:rPr>
          <w:rFonts w:cs="Times New Roman"/>
          <w:szCs w:val="24"/>
        </w:rPr>
      </w:pPr>
      <w:r w:rsidRPr="001C5C71">
        <w:rPr>
          <w:rFonts w:cs="Times New Roman"/>
          <w:szCs w:val="24"/>
          <w:lang w:eastAsia="id-ID"/>
        </w:rPr>
        <w:t>Karima N., 2007, Profil Kromatogram dan Aktivitas AntibakteriEkstrak Etanol Rimpang Lempuyang Emprit (</w:t>
      </w:r>
      <w:r w:rsidRPr="001C5C71">
        <w:rPr>
          <w:rFonts w:cs="Times New Roman"/>
          <w:i/>
          <w:szCs w:val="24"/>
          <w:lang w:eastAsia="id-ID"/>
        </w:rPr>
        <w:t xml:space="preserve">Zingiber amaricans </w:t>
      </w:r>
      <w:r w:rsidRPr="001C5C71">
        <w:rPr>
          <w:rFonts w:cs="Times New Roman"/>
          <w:szCs w:val="24"/>
          <w:lang w:eastAsia="id-ID"/>
        </w:rPr>
        <w:t>Bl.) terhadap Bakteri</w:t>
      </w:r>
    </w:p>
    <w:p w:rsidR="0005601B" w:rsidRPr="001C5C71" w:rsidRDefault="0005601B" w:rsidP="00ED7000">
      <w:pPr>
        <w:widowControl w:val="0"/>
        <w:autoSpaceDE w:val="0"/>
        <w:autoSpaceDN w:val="0"/>
        <w:adjustRightInd w:val="0"/>
        <w:spacing w:line="360" w:lineRule="auto"/>
        <w:ind w:left="480" w:hanging="480"/>
        <w:jc w:val="both"/>
        <w:rPr>
          <w:rFonts w:cs="Times New Roman"/>
          <w:szCs w:val="24"/>
          <w:lang w:eastAsia="id-ID"/>
        </w:rPr>
      </w:pPr>
      <w:r w:rsidRPr="001C5C71">
        <w:rPr>
          <w:rFonts w:cs="Times New Roman"/>
          <w:szCs w:val="24"/>
          <w:lang w:eastAsia="id-ID"/>
        </w:rPr>
        <w:t>Riyanto S., 2007, Identification of the Isolated Compounds from</w:t>
      </w:r>
      <w:r w:rsidRPr="001C5C71">
        <w:rPr>
          <w:rFonts w:cs="Times New Roman"/>
          <w:i/>
          <w:szCs w:val="24"/>
          <w:lang w:eastAsia="id-ID"/>
        </w:rPr>
        <w:t>Zingiber amaricans</w:t>
      </w:r>
      <w:r w:rsidRPr="001C5C71">
        <w:rPr>
          <w:rFonts w:cs="Times New Roman"/>
          <w:szCs w:val="24"/>
          <w:lang w:eastAsia="id-ID"/>
        </w:rPr>
        <w:t xml:space="preserve"> Bl. Rhizome, </w:t>
      </w:r>
      <w:r w:rsidRPr="001C5C71">
        <w:rPr>
          <w:rFonts w:cs="Times New Roman"/>
          <w:i/>
          <w:szCs w:val="24"/>
          <w:lang w:eastAsia="id-ID"/>
        </w:rPr>
        <w:t>Indonesian Journal of Chemistry</w:t>
      </w:r>
      <w:r w:rsidRPr="001C5C71">
        <w:rPr>
          <w:rFonts w:cs="Times New Roman"/>
          <w:szCs w:val="24"/>
          <w:lang w:eastAsia="id-ID"/>
        </w:rPr>
        <w:t>, 7 (1), 93–96.</w:t>
      </w:r>
    </w:p>
    <w:p w:rsidR="0005601B" w:rsidRPr="001C5C71" w:rsidRDefault="0005601B" w:rsidP="00ED7000">
      <w:pPr>
        <w:widowControl w:val="0"/>
        <w:autoSpaceDE w:val="0"/>
        <w:autoSpaceDN w:val="0"/>
        <w:adjustRightInd w:val="0"/>
        <w:spacing w:line="360" w:lineRule="auto"/>
        <w:ind w:left="480" w:hanging="480"/>
        <w:jc w:val="both"/>
        <w:rPr>
          <w:rFonts w:cs="Times New Roman"/>
          <w:szCs w:val="24"/>
          <w:lang w:eastAsia="id-ID"/>
        </w:rPr>
      </w:pPr>
      <w:r w:rsidRPr="001C5C71">
        <w:rPr>
          <w:rFonts w:cs="Times New Roman"/>
          <w:szCs w:val="24"/>
          <w:lang w:eastAsia="id-ID"/>
        </w:rPr>
        <w:t xml:space="preserve">Rodwell V.W., Bender D.A., Botham K.M., Kennelly P.J., and Weil P.A., 2015, </w:t>
      </w:r>
      <w:r w:rsidRPr="001C5C71">
        <w:rPr>
          <w:rFonts w:cs="Times New Roman"/>
          <w:i/>
          <w:szCs w:val="24"/>
          <w:lang w:eastAsia="id-ID"/>
        </w:rPr>
        <w:t xml:space="preserve">Harper’s Illustrated Biochemistry Thirtieth Edition, </w:t>
      </w:r>
      <w:r w:rsidRPr="001C5C71">
        <w:rPr>
          <w:rFonts w:cs="Times New Roman"/>
          <w:szCs w:val="24"/>
          <w:lang w:eastAsia="id-ID"/>
        </w:rPr>
        <w:t>McGraw-Hill Education, New York, p. 81-84.</w:t>
      </w:r>
    </w:p>
    <w:p w:rsidR="0005601B" w:rsidRPr="001C5C71" w:rsidRDefault="0005601B" w:rsidP="00ED7000">
      <w:pPr>
        <w:widowControl w:val="0"/>
        <w:autoSpaceDE w:val="0"/>
        <w:autoSpaceDN w:val="0"/>
        <w:adjustRightInd w:val="0"/>
        <w:spacing w:line="360" w:lineRule="auto"/>
        <w:ind w:left="480" w:hanging="480"/>
        <w:jc w:val="both"/>
        <w:rPr>
          <w:rFonts w:cs="Times New Roman"/>
          <w:szCs w:val="24"/>
          <w:lang w:eastAsia="id-ID"/>
        </w:rPr>
      </w:pPr>
      <w:r w:rsidRPr="001C5C71">
        <w:rPr>
          <w:rFonts w:cs="Times New Roman"/>
          <w:szCs w:val="24"/>
          <w:lang w:eastAsia="id-ID"/>
        </w:rPr>
        <w:t xml:space="preserve">Sakika K.A., Hanwar D., Suhendi A., </w:t>
      </w:r>
      <w:r w:rsidRPr="001C5C71">
        <w:rPr>
          <w:rFonts w:cs="Times New Roman"/>
          <w:szCs w:val="24"/>
          <w:lang w:eastAsia="id-ID"/>
        </w:rPr>
        <w:lastRenderedPageBreak/>
        <w:t>Kusumowati I.T.D., and Santoso B., 2014, Aktivitas Antidiabetes Ekstrak Etanol Rimpang Lempuyang Emprit (</w:t>
      </w:r>
      <w:r w:rsidRPr="001C5C71">
        <w:rPr>
          <w:rFonts w:cs="Times New Roman"/>
          <w:i/>
          <w:szCs w:val="24"/>
          <w:lang w:eastAsia="id-ID"/>
        </w:rPr>
        <w:t>Zingiber amaricans</w:t>
      </w:r>
      <w:r w:rsidRPr="001C5C71">
        <w:rPr>
          <w:rFonts w:cs="Times New Roman"/>
          <w:szCs w:val="24"/>
          <w:lang w:eastAsia="id-ID"/>
        </w:rPr>
        <w:t xml:space="preserve"> Bl.) Pada Tikus Putih Fakultas Farmasi, Dalam </w:t>
      </w:r>
      <w:r w:rsidRPr="001C5C71">
        <w:rPr>
          <w:rFonts w:cs="Times New Roman"/>
          <w:i/>
          <w:szCs w:val="24"/>
          <w:lang w:eastAsia="id-ID"/>
        </w:rPr>
        <w:t>Prosiding Seminar Nasional "Perkembangan Terbaru Pemanfaatan Herbal Sebagai Agen Preventif Pada Terapi Kanker</w:t>
      </w:r>
      <w:r w:rsidRPr="001C5C71">
        <w:rPr>
          <w:rFonts w:cs="Times New Roman"/>
          <w:szCs w:val="24"/>
          <w:lang w:eastAsia="id-ID"/>
        </w:rPr>
        <w:t>,pp.10–16.</w:t>
      </w:r>
    </w:p>
    <w:p w:rsidR="0005601B" w:rsidRPr="001C5C71" w:rsidRDefault="0005601B" w:rsidP="00ED7000">
      <w:pPr>
        <w:widowControl w:val="0"/>
        <w:autoSpaceDE w:val="0"/>
        <w:autoSpaceDN w:val="0"/>
        <w:adjustRightInd w:val="0"/>
        <w:spacing w:line="360" w:lineRule="auto"/>
        <w:ind w:left="480" w:hanging="480"/>
        <w:jc w:val="both"/>
        <w:rPr>
          <w:rFonts w:cs="Times New Roman"/>
          <w:szCs w:val="24"/>
          <w:lang w:eastAsia="id-ID"/>
        </w:rPr>
      </w:pPr>
      <w:r w:rsidRPr="001C5C71">
        <w:rPr>
          <w:rFonts w:cs="Times New Roman"/>
          <w:szCs w:val="24"/>
          <w:lang w:eastAsia="id-ID"/>
        </w:rPr>
        <w:t xml:space="preserve">Srividya A.R., Dhanabal S.P., Satish K.M.N., and Bavadia P.K.H., 2011, Antioxidant and antidiabetic activity of </w:t>
      </w:r>
      <w:r w:rsidRPr="001C5C71">
        <w:rPr>
          <w:rFonts w:cs="Times New Roman"/>
          <w:i/>
          <w:szCs w:val="24"/>
          <w:lang w:eastAsia="id-ID"/>
        </w:rPr>
        <w:t>Alpinia galanga</w:t>
      </w:r>
      <w:r w:rsidRPr="001C5C71">
        <w:rPr>
          <w:rFonts w:cs="Times New Roman"/>
          <w:szCs w:val="24"/>
          <w:lang w:eastAsia="id-ID"/>
        </w:rPr>
        <w:t>,</w:t>
      </w:r>
      <w:r w:rsidRPr="001C5C71">
        <w:rPr>
          <w:rFonts w:cs="Times New Roman"/>
          <w:i/>
          <w:szCs w:val="24"/>
          <w:lang w:eastAsia="id-ID"/>
        </w:rPr>
        <w:t>International Journal of Pharmacognosy and Phytochemical Research</w:t>
      </w:r>
      <w:r w:rsidRPr="001C5C71">
        <w:rPr>
          <w:rFonts w:cs="Times New Roman"/>
          <w:szCs w:val="24"/>
          <w:lang w:eastAsia="id-ID"/>
        </w:rPr>
        <w:t>, 3 (1), 6–12.</w:t>
      </w:r>
    </w:p>
    <w:p w:rsidR="0005601B" w:rsidRPr="001C5C71" w:rsidRDefault="0005601B" w:rsidP="00ED7000">
      <w:pPr>
        <w:widowControl w:val="0"/>
        <w:autoSpaceDE w:val="0"/>
        <w:autoSpaceDN w:val="0"/>
        <w:adjustRightInd w:val="0"/>
        <w:spacing w:line="360" w:lineRule="auto"/>
        <w:ind w:left="480" w:hanging="480"/>
        <w:jc w:val="both"/>
        <w:rPr>
          <w:rFonts w:cs="Times New Roman"/>
          <w:szCs w:val="24"/>
          <w:lang w:eastAsia="id-ID"/>
        </w:rPr>
      </w:pPr>
      <w:r w:rsidRPr="001C5C71">
        <w:rPr>
          <w:rFonts w:cs="Times New Roman"/>
          <w:szCs w:val="24"/>
          <w:lang w:eastAsia="id-ID"/>
        </w:rPr>
        <w:t>Sugiwati S., Setiasih S., andAfifah E., 2009, Antihyperglycemic Activity Of The Mahkota Dewa[</w:t>
      </w:r>
      <w:r w:rsidRPr="001C5C71">
        <w:rPr>
          <w:rFonts w:cs="Times New Roman"/>
          <w:i/>
          <w:szCs w:val="24"/>
          <w:lang w:eastAsia="id-ID"/>
        </w:rPr>
        <w:t>Phaleria Macrocarpa</w:t>
      </w:r>
      <w:r w:rsidRPr="001C5C71">
        <w:rPr>
          <w:rFonts w:cs="Times New Roman"/>
          <w:szCs w:val="24"/>
          <w:lang w:eastAsia="id-ID"/>
        </w:rPr>
        <w:t xml:space="preserve"> (Scheff.) Boerl.] Leaf ExtractsAs An Alpha-Glucosidase Inhibitor, </w:t>
      </w:r>
      <w:r w:rsidRPr="001C5C71">
        <w:rPr>
          <w:rFonts w:cs="Times New Roman"/>
          <w:i/>
          <w:szCs w:val="24"/>
          <w:lang w:eastAsia="id-ID"/>
        </w:rPr>
        <w:t>Makara, Kesehatan</w:t>
      </w:r>
      <w:r w:rsidRPr="001C5C71">
        <w:rPr>
          <w:rFonts w:cs="Times New Roman"/>
          <w:szCs w:val="24"/>
          <w:lang w:eastAsia="id-ID"/>
        </w:rPr>
        <w:t>, 13 (2), 74–78.</w:t>
      </w:r>
    </w:p>
    <w:p w:rsidR="0005601B" w:rsidRPr="001C5C71" w:rsidRDefault="0005601B" w:rsidP="00ED7000">
      <w:pPr>
        <w:widowControl w:val="0"/>
        <w:autoSpaceDE w:val="0"/>
        <w:autoSpaceDN w:val="0"/>
        <w:adjustRightInd w:val="0"/>
        <w:spacing w:line="360" w:lineRule="auto"/>
        <w:ind w:left="480" w:hanging="480"/>
        <w:jc w:val="both"/>
        <w:rPr>
          <w:rFonts w:cs="Times New Roman"/>
          <w:szCs w:val="24"/>
          <w:lang w:eastAsia="id-ID"/>
        </w:rPr>
      </w:pPr>
      <w:r w:rsidRPr="001C5C71">
        <w:rPr>
          <w:rFonts w:cs="Times New Roman"/>
          <w:szCs w:val="24"/>
          <w:lang w:eastAsia="id-ID"/>
        </w:rPr>
        <w:t xml:space="preserve">Unnikrishnan P.S, Suthindhiran K., and Jayasri M.A., 2014, </w:t>
      </w:r>
      <w:r w:rsidRPr="001C5C71">
        <w:rPr>
          <w:rFonts w:cs="Times New Roman"/>
          <w:szCs w:val="24"/>
          <w:lang w:eastAsia="id-ID"/>
        </w:rPr>
        <w:lastRenderedPageBreak/>
        <w:t xml:space="preserve">Inhibitory Potential of </w:t>
      </w:r>
      <w:r w:rsidRPr="001C5C71">
        <w:rPr>
          <w:rFonts w:cs="Times New Roman"/>
          <w:i/>
          <w:szCs w:val="24"/>
          <w:lang w:eastAsia="id-ID"/>
        </w:rPr>
        <w:t>Turbinaria ornata</w:t>
      </w:r>
      <w:r w:rsidRPr="001C5C71">
        <w:rPr>
          <w:rFonts w:cs="Times New Roman"/>
          <w:szCs w:val="24"/>
          <w:lang w:eastAsia="id-ID"/>
        </w:rPr>
        <w:t xml:space="preserve"> againstKey Metabolic Enzymes Linked to Diabetes, </w:t>
      </w:r>
      <w:r w:rsidRPr="001C5C71">
        <w:rPr>
          <w:rFonts w:cs="Times New Roman"/>
          <w:i/>
          <w:szCs w:val="24"/>
          <w:lang w:eastAsia="id-ID"/>
        </w:rPr>
        <w:t>Biomedical Research International</w:t>
      </w:r>
      <w:r w:rsidRPr="001C5C71">
        <w:rPr>
          <w:rFonts w:cs="Times New Roman"/>
          <w:szCs w:val="24"/>
          <w:lang w:eastAsia="id-ID"/>
        </w:rPr>
        <w:t xml:space="preserve">, 2014, 1. </w:t>
      </w:r>
    </w:p>
    <w:p w:rsidR="001C5C71" w:rsidRPr="001C5C71" w:rsidRDefault="0005601B" w:rsidP="00ED7000">
      <w:pPr>
        <w:widowControl w:val="0"/>
        <w:autoSpaceDE w:val="0"/>
        <w:autoSpaceDN w:val="0"/>
        <w:adjustRightInd w:val="0"/>
        <w:spacing w:line="360" w:lineRule="auto"/>
        <w:ind w:left="480" w:hanging="480"/>
        <w:jc w:val="both"/>
        <w:rPr>
          <w:rFonts w:cs="Times New Roman"/>
          <w:i/>
          <w:szCs w:val="24"/>
          <w:lang w:eastAsia="id-ID"/>
        </w:rPr>
        <w:sectPr w:rsidR="001C5C71" w:rsidRPr="001C5C71" w:rsidSect="001C5C71">
          <w:type w:val="continuous"/>
          <w:pgSz w:w="11906" w:h="16838"/>
          <w:pgMar w:top="2268" w:right="1701" w:bottom="1701" w:left="2268" w:header="709" w:footer="709" w:gutter="0"/>
          <w:cols w:num="2" w:space="708"/>
          <w:docGrid w:linePitch="360"/>
        </w:sectPr>
      </w:pPr>
      <w:r w:rsidRPr="001C5C71">
        <w:rPr>
          <w:rFonts w:cs="Times New Roman"/>
          <w:szCs w:val="24"/>
          <w:lang w:eastAsia="id-ID"/>
        </w:rPr>
        <w:t xml:space="preserve">Wahyuni S., and Bermawie N., 2010, </w:t>
      </w:r>
      <w:r w:rsidRPr="001C5C71">
        <w:rPr>
          <w:rFonts w:cs="Times New Roman"/>
          <w:szCs w:val="24"/>
          <w:lang w:eastAsia="id-ID"/>
        </w:rPr>
        <w:lastRenderedPageBreak/>
        <w:t xml:space="preserve">Evaluasi 15 Aksesi Lempuyang untuk Meningkatkan Produktivitas &gt;20%, </w:t>
      </w:r>
      <w:r w:rsidRPr="001C5C71">
        <w:rPr>
          <w:rFonts w:cs="Times New Roman"/>
          <w:i/>
          <w:szCs w:val="24"/>
          <w:lang w:eastAsia="id-ID"/>
        </w:rPr>
        <w:t>Laporan Teknis Penelitian Tahun Anggaran 2010 Balai Penelitian Tanaman Obat dan Arom</w:t>
      </w:r>
    </w:p>
    <w:p w:rsidR="00BD7E35" w:rsidRPr="001C5C71" w:rsidRDefault="0005601B" w:rsidP="00ED7000">
      <w:pPr>
        <w:widowControl w:val="0"/>
        <w:autoSpaceDE w:val="0"/>
        <w:autoSpaceDN w:val="0"/>
        <w:adjustRightInd w:val="0"/>
        <w:spacing w:line="360" w:lineRule="auto"/>
        <w:ind w:left="480" w:hanging="480"/>
        <w:jc w:val="both"/>
        <w:rPr>
          <w:rFonts w:cs="Times New Roman"/>
          <w:szCs w:val="24"/>
        </w:rPr>
      </w:pPr>
      <w:r w:rsidRPr="001C5C71">
        <w:rPr>
          <w:rFonts w:cs="Times New Roman"/>
          <w:i/>
          <w:szCs w:val="24"/>
          <w:lang w:eastAsia="id-ID"/>
        </w:rPr>
        <w:lastRenderedPageBreak/>
        <w:t>atik</w:t>
      </w:r>
      <w:r w:rsidRPr="001C5C71">
        <w:rPr>
          <w:rFonts w:cs="Times New Roman"/>
          <w:szCs w:val="24"/>
          <w:lang w:eastAsia="id-ID"/>
        </w:rPr>
        <w:t>.</w:t>
      </w:r>
    </w:p>
    <w:sectPr w:rsidR="00BD7E35" w:rsidRPr="001C5C71" w:rsidSect="001C5C71">
      <w:type w:val="continuous"/>
      <w:pgSz w:w="11906" w:h="16838"/>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7DB7" w:rsidRDefault="000D7DB7">
      <w:pPr>
        <w:spacing w:after="0" w:line="240" w:lineRule="auto"/>
      </w:pPr>
      <w:r>
        <w:separator/>
      </w:r>
    </w:p>
  </w:endnote>
  <w:endnote w:type="continuationSeparator" w:id="1">
    <w:p w:rsidR="000D7DB7" w:rsidRDefault="000D7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22943"/>
      <w:docPartObj>
        <w:docPartGallery w:val="Page Numbers (Bottom of Page)"/>
        <w:docPartUnique/>
      </w:docPartObj>
    </w:sdtPr>
    <w:sdtEndPr>
      <w:rPr>
        <w:noProof/>
      </w:rPr>
    </w:sdtEndPr>
    <w:sdtContent>
      <w:p w:rsidR="00745280" w:rsidRDefault="00E96025">
        <w:pPr>
          <w:pStyle w:val="Footer"/>
          <w:jc w:val="center"/>
        </w:pPr>
        <w:r>
          <w:fldChar w:fldCharType="begin"/>
        </w:r>
        <w:r w:rsidR="00C754AD">
          <w:instrText xml:space="preserve"> PAGE   \* MERGEFORMAT </w:instrText>
        </w:r>
        <w:r>
          <w:fldChar w:fldCharType="separate"/>
        </w:r>
        <w:r w:rsidR="002311D8">
          <w:rPr>
            <w:noProof/>
          </w:rPr>
          <w:t>1</w:t>
        </w:r>
        <w:r>
          <w:rPr>
            <w:noProof/>
          </w:rPr>
          <w:fldChar w:fldCharType="end"/>
        </w:r>
      </w:p>
    </w:sdtContent>
  </w:sdt>
  <w:p w:rsidR="00745280" w:rsidRPr="003C7495" w:rsidRDefault="000D7DB7" w:rsidP="00574D3D">
    <w:pPr>
      <w:ind w:left="720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7DB7" w:rsidRDefault="000D7DB7">
      <w:pPr>
        <w:spacing w:after="0" w:line="240" w:lineRule="auto"/>
      </w:pPr>
      <w:r>
        <w:separator/>
      </w:r>
    </w:p>
  </w:footnote>
  <w:footnote w:type="continuationSeparator" w:id="1">
    <w:p w:rsidR="000D7DB7" w:rsidRDefault="000D7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280" w:rsidRDefault="000D7DB7">
    <w:pPr>
      <w:pStyle w:val="Header"/>
      <w:jc w:val="right"/>
    </w:pPr>
  </w:p>
  <w:p w:rsidR="00745280" w:rsidRPr="00FC1E4E" w:rsidRDefault="000D7DB7" w:rsidP="00922E97">
    <w:pPr>
      <w:pStyle w:val="Header"/>
      <w:jc w:val="right"/>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E5260"/>
    <w:multiLevelType w:val="hybridMultilevel"/>
    <w:tmpl w:val="E74C15C0"/>
    <w:lvl w:ilvl="0" w:tplc="29003EA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3ED718C"/>
    <w:multiLevelType w:val="hybridMultilevel"/>
    <w:tmpl w:val="20363C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A80CE4"/>
    <w:multiLevelType w:val="hybridMultilevel"/>
    <w:tmpl w:val="B0285D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77E3315"/>
    <w:multiLevelType w:val="hybridMultilevel"/>
    <w:tmpl w:val="D9CAB824"/>
    <w:lvl w:ilvl="0" w:tplc="F5C2DCD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3C11C6B"/>
    <w:multiLevelType w:val="hybridMultilevel"/>
    <w:tmpl w:val="C6483D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13483"/>
    <w:rsid w:val="0005601B"/>
    <w:rsid w:val="00064B6D"/>
    <w:rsid w:val="000D7DB7"/>
    <w:rsid w:val="001538EB"/>
    <w:rsid w:val="001C5C71"/>
    <w:rsid w:val="00207539"/>
    <w:rsid w:val="002311D8"/>
    <w:rsid w:val="00235A82"/>
    <w:rsid w:val="00262B59"/>
    <w:rsid w:val="00341FBC"/>
    <w:rsid w:val="003678DF"/>
    <w:rsid w:val="00391B15"/>
    <w:rsid w:val="003B5215"/>
    <w:rsid w:val="0044474C"/>
    <w:rsid w:val="004E3A98"/>
    <w:rsid w:val="004F143F"/>
    <w:rsid w:val="00546AF0"/>
    <w:rsid w:val="00600619"/>
    <w:rsid w:val="00616B09"/>
    <w:rsid w:val="00643B31"/>
    <w:rsid w:val="00672874"/>
    <w:rsid w:val="006C37F0"/>
    <w:rsid w:val="006D4B61"/>
    <w:rsid w:val="00781E82"/>
    <w:rsid w:val="007822BE"/>
    <w:rsid w:val="00786A87"/>
    <w:rsid w:val="007F7D49"/>
    <w:rsid w:val="00884999"/>
    <w:rsid w:val="008B5D5D"/>
    <w:rsid w:val="00913483"/>
    <w:rsid w:val="00A308A5"/>
    <w:rsid w:val="00BD7E35"/>
    <w:rsid w:val="00C7513D"/>
    <w:rsid w:val="00C754AD"/>
    <w:rsid w:val="00D50180"/>
    <w:rsid w:val="00D50F2E"/>
    <w:rsid w:val="00D55C60"/>
    <w:rsid w:val="00E310CE"/>
    <w:rsid w:val="00E96025"/>
    <w:rsid w:val="00ED7000"/>
    <w:rsid w:val="00F00C1E"/>
    <w:rsid w:val="00F365AD"/>
    <w:rsid w:val="00F51C10"/>
    <w:rsid w:val="00F91F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0CE"/>
  </w:style>
  <w:style w:type="paragraph" w:styleId="Heading1">
    <w:name w:val="heading 1"/>
    <w:aliases w:val="DAFTAR ISI"/>
    <w:basedOn w:val="Normal"/>
    <w:next w:val="Normal"/>
    <w:link w:val="Heading1Char"/>
    <w:uiPriority w:val="9"/>
    <w:qFormat/>
    <w:rsid w:val="0044474C"/>
    <w:pPr>
      <w:keepNext/>
      <w:keepLines/>
      <w:spacing w:after="0" w:line="259" w:lineRule="auto"/>
      <w:outlineLvl w:val="0"/>
    </w:pPr>
    <w:rPr>
      <w:rFonts w:asciiTheme="majorBidi" w:eastAsiaTheme="majorEastAsia" w:hAnsiTheme="majorBidi" w:cstheme="majorBidi"/>
      <w:szCs w:val="32"/>
      <w:lang w:val="en-US"/>
    </w:rPr>
  </w:style>
  <w:style w:type="paragraph" w:styleId="Heading2">
    <w:name w:val="heading 2"/>
    <w:basedOn w:val="Normal"/>
    <w:next w:val="Normal"/>
    <w:link w:val="Heading2Char"/>
    <w:uiPriority w:val="9"/>
    <w:semiHidden/>
    <w:unhideWhenUsed/>
    <w:qFormat/>
    <w:rsid w:val="00781E8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FTAR ISI Char"/>
    <w:basedOn w:val="DefaultParagraphFont"/>
    <w:link w:val="Heading1"/>
    <w:uiPriority w:val="9"/>
    <w:rsid w:val="0044474C"/>
    <w:rPr>
      <w:rFonts w:asciiTheme="majorBidi" w:eastAsiaTheme="majorEastAsia" w:hAnsiTheme="majorBidi" w:cstheme="majorBidi"/>
      <w:szCs w:val="32"/>
      <w:lang w:val="en-US"/>
    </w:rPr>
  </w:style>
  <w:style w:type="character" w:styleId="Hyperlink">
    <w:name w:val="Hyperlink"/>
    <w:basedOn w:val="DefaultParagraphFont"/>
    <w:uiPriority w:val="99"/>
    <w:unhideWhenUsed/>
    <w:rsid w:val="0044474C"/>
    <w:rPr>
      <w:color w:val="0000FF" w:themeColor="hyperlink"/>
      <w:u w:val="single"/>
    </w:rPr>
  </w:style>
  <w:style w:type="paragraph" w:styleId="ListParagraph">
    <w:name w:val="List Paragraph"/>
    <w:basedOn w:val="Normal"/>
    <w:link w:val="ListParagraphChar"/>
    <w:uiPriority w:val="34"/>
    <w:qFormat/>
    <w:rsid w:val="00546AF0"/>
    <w:pPr>
      <w:spacing w:after="160" w:line="259" w:lineRule="auto"/>
      <w:ind w:left="720"/>
      <w:contextualSpacing/>
    </w:pPr>
    <w:rPr>
      <w:rFonts w:asciiTheme="majorBidi" w:eastAsia="Calibri" w:hAnsiTheme="majorBidi" w:cstheme="majorBidi"/>
      <w:lang w:val="en-US"/>
    </w:rPr>
  </w:style>
  <w:style w:type="table" w:styleId="TableGrid">
    <w:name w:val="Table Grid"/>
    <w:basedOn w:val="TableNormal"/>
    <w:uiPriority w:val="59"/>
    <w:rsid w:val="0078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edited">
    <w:name w:val="alt-edited"/>
    <w:basedOn w:val="DefaultParagraphFont"/>
    <w:rsid w:val="00262B59"/>
  </w:style>
  <w:style w:type="character" w:customStyle="1" w:styleId="ListParagraphChar">
    <w:name w:val="List Paragraph Char"/>
    <w:link w:val="ListParagraph"/>
    <w:uiPriority w:val="34"/>
    <w:rsid w:val="008B5D5D"/>
    <w:rPr>
      <w:rFonts w:asciiTheme="majorBidi" w:eastAsia="Calibri" w:hAnsiTheme="majorBidi" w:cstheme="majorBidi"/>
      <w:lang w:val="en-US"/>
    </w:rPr>
  </w:style>
  <w:style w:type="character" w:customStyle="1" w:styleId="Heading2Char">
    <w:name w:val="Heading 2 Char"/>
    <w:basedOn w:val="DefaultParagraphFont"/>
    <w:link w:val="Heading2"/>
    <w:uiPriority w:val="9"/>
    <w:semiHidden/>
    <w:rsid w:val="00781E8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81E82"/>
    <w:pPr>
      <w:tabs>
        <w:tab w:val="center" w:pos="4680"/>
        <w:tab w:val="right" w:pos="9360"/>
      </w:tabs>
      <w:spacing w:after="0" w:line="240" w:lineRule="auto"/>
    </w:pPr>
    <w:rPr>
      <w:rFonts w:ascii="Calibri" w:eastAsia="Calibri" w:hAnsi="Calibri" w:cs="Times New Roman"/>
      <w:sz w:val="20"/>
      <w:szCs w:val="20"/>
      <w:lang w:val="en-US"/>
    </w:rPr>
  </w:style>
  <w:style w:type="character" w:customStyle="1" w:styleId="HeaderChar">
    <w:name w:val="Header Char"/>
    <w:basedOn w:val="DefaultParagraphFont"/>
    <w:link w:val="Header"/>
    <w:uiPriority w:val="99"/>
    <w:rsid w:val="00781E82"/>
    <w:rPr>
      <w:rFonts w:ascii="Calibri" w:eastAsia="Calibri" w:hAnsi="Calibri" w:cs="Times New Roman"/>
      <w:sz w:val="20"/>
      <w:szCs w:val="20"/>
      <w:lang w:val="en-US"/>
    </w:rPr>
  </w:style>
  <w:style w:type="paragraph" w:styleId="Footer">
    <w:name w:val="footer"/>
    <w:basedOn w:val="Normal"/>
    <w:link w:val="FooterChar"/>
    <w:uiPriority w:val="99"/>
    <w:unhideWhenUsed/>
    <w:rsid w:val="00781E82"/>
    <w:pPr>
      <w:tabs>
        <w:tab w:val="center" w:pos="4680"/>
        <w:tab w:val="right" w:pos="9360"/>
      </w:tabs>
      <w:spacing w:after="0" w:line="240" w:lineRule="auto"/>
    </w:pPr>
    <w:rPr>
      <w:rFonts w:ascii="Calibri" w:eastAsia="Calibri" w:hAnsi="Calibri" w:cs="Times New Roman"/>
      <w:sz w:val="20"/>
      <w:szCs w:val="20"/>
      <w:lang w:val="en-US"/>
    </w:rPr>
  </w:style>
  <w:style w:type="character" w:customStyle="1" w:styleId="FooterChar">
    <w:name w:val="Footer Char"/>
    <w:basedOn w:val="DefaultParagraphFont"/>
    <w:link w:val="Footer"/>
    <w:uiPriority w:val="99"/>
    <w:rsid w:val="00781E82"/>
    <w:rPr>
      <w:rFonts w:ascii="Calibri" w:eastAsia="Calibri" w:hAnsi="Calibri" w:cs="Times New Roman"/>
      <w:sz w:val="20"/>
      <w:szCs w:val="20"/>
      <w:lang w:val="en-US"/>
    </w:rPr>
  </w:style>
  <w:style w:type="paragraph" w:styleId="Caption">
    <w:name w:val="caption"/>
    <w:basedOn w:val="Normal"/>
    <w:next w:val="Normal"/>
    <w:uiPriority w:val="35"/>
    <w:unhideWhenUsed/>
    <w:qFormat/>
    <w:rsid w:val="00781E82"/>
    <w:pPr>
      <w:spacing w:line="240" w:lineRule="auto"/>
    </w:pPr>
    <w:rPr>
      <w:rFonts w:ascii="Calibri" w:eastAsia="Calibri" w:hAnsi="Calibri" w:cs="Times New Roman"/>
      <w:b/>
      <w:bCs/>
      <w:color w:val="4F81BD" w:themeColor="accent1"/>
      <w:sz w:val="18"/>
      <w:szCs w:val="18"/>
      <w:lang w:val="en-US"/>
    </w:rPr>
  </w:style>
  <w:style w:type="paragraph" w:styleId="BalloonText">
    <w:name w:val="Balloon Text"/>
    <w:basedOn w:val="Normal"/>
    <w:link w:val="BalloonTextChar"/>
    <w:uiPriority w:val="99"/>
    <w:semiHidden/>
    <w:unhideWhenUsed/>
    <w:rsid w:val="00781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E82"/>
    <w:rPr>
      <w:rFonts w:ascii="Tahoma" w:hAnsi="Tahoma" w:cs="Tahoma"/>
      <w:sz w:val="16"/>
      <w:szCs w:val="16"/>
    </w:rPr>
  </w:style>
  <w:style w:type="paragraph" w:styleId="BodyText">
    <w:name w:val="Body Text"/>
    <w:basedOn w:val="Normal"/>
    <w:link w:val="BodyTextChar"/>
    <w:autoRedefine/>
    <w:uiPriority w:val="99"/>
    <w:qFormat/>
    <w:rsid w:val="001C5C71"/>
    <w:pPr>
      <w:spacing w:after="0" w:line="360" w:lineRule="auto"/>
      <w:jc w:val="both"/>
    </w:pPr>
    <w:rPr>
      <w:rFonts w:eastAsia="SimSun" w:cs="Times New Roman"/>
      <w:spacing w:val="-1"/>
      <w:szCs w:val="20"/>
    </w:rPr>
  </w:style>
  <w:style w:type="character" w:customStyle="1" w:styleId="BodyTextChar">
    <w:name w:val="Body Text Char"/>
    <w:basedOn w:val="DefaultParagraphFont"/>
    <w:link w:val="BodyText"/>
    <w:uiPriority w:val="99"/>
    <w:rsid w:val="001C5C71"/>
    <w:rPr>
      <w:rFonts w:eastAsia="SimSun" w:cs="Times New Roman"/>
      <w:spacing w:val="-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DAFTAR ISI"/>
    <w:basedOn w:val="Normal"/>
    <w:next w:val="Normal"/>
    <w:link w:val="Heading1Char"/>
    <w:uiPriority w:val="9"/>
    <w:qFormat/>
    <w:rsid w:val="0044474C"/>
    <w:pPr>
      <w:keepNext/>
      <w:keepLines/>
      <w:spacing w:after="0" w:line="259" w:lineRule="auto"/>
      <w:outlineLvl w:val="0"/>
    </w:pPr>
    <w:rPr>
      <w:rFonts w:asciiTheme="majorBidi" w:eastAsiaTheme="majorEastAsia" w:hAnsiTheme="majorBidi" w:cstheme="majorBidi"/>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FTAR ISI Char"/>
    <w:basedOn w:val="DefaultParagraphFont"/>
    <w:link w:val="Heading1"/>
    <w:uiPriority w:val="9"/>
    <w:rsid w:val="0044474C"/>
    <w:rPr>
      <w:rFonts w:asciiTheme="majorBidi" w:eastAsiaTheme="majorEastAsia" w:hAnsiTheme="majorBidi" w:cstheme="majorBidi"/>
      <w:szCs w:val="32"/>
      <w:lang w:val="en-US"/>
    </w:rPr>
  </w:style>
  <w:style w:type="character" w:styleId="Hyperlink">
    <w:name w:val="Hyperlink"/>
    <w:basedOn w:val="DefaultParagraphFont"/>
    <w:uiPriority w:val="99"/>
    <w:unhideWhenUsed/>
    <w:rsid w:val="0044474C"/>
    <w:rPr>
      <w:color w:val="0000FF" w:themeColor="hyperlink"/>
      <w:u w:val="single"/>
    </w:rPr>
  </w:style>
  <w:style w:type="paragraph" w:styleId="ListParagraph">
    <w:name w:val="List Paragraph"/>
    <w:basedOn w:val="Normal"/>
    <w:uiPriority w:val="34"/>
    <w:qFormat/>
    <w:rsid w:val="00546AF0"/>
    <w:pPr>
      <w:spacing w:after="160" w:line="259" w:lineRule="auto"/>
      <w:ind w:left="720"/>
      <w:contextualSpacing/>
    </w:pPr>
    <w:rPr>
      <w:rFonts w:asciiTheme="majorBidi" w:eastAsia="Calibri" w:hAnsiTheme="majorBidi" w:cstheme="majorBidi"/>
      <w:lang w:val="en-US"/>
    </w:rPr>
  </w:style>
  <w:style w:type="table" w:styleId="TableGrid">
    <w:name w:val="Table Grid"/>
    <w:basedOn w:val="TableNormal"/>
    <w:uiPriority w:val="59"/>
    <w:rsid w:val="0078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700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i.hanwar@ums.ac.id"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SKRIPSI\AKU\AKU\3.%20SKRIPSI\DATAK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scatterChart>
        <c:scatterStyle val="lineMarker"/>
        <c:ser>
          <c:idx val="0"/>
          <c:order val="0"/>
          <c:tx>
            <c:v>tanpa inhibitor</c:v>
          </c:tx>
          <c:spPr>
            <a:ln w="28575">
              <a:noFill/>
            </a:ln>
          </c:spPr>
          <c:dPt>
            <c:idx val="5"/>
            <c:marker>
              <c:spPr>
                <a:noFill/>
              </c:spPr>
            </c:marker>
          </c:dPt>
          <c:dPt>
            <c:idx val="6"/>
            <c:marker>
              <c:spPr>
                <a:noFill/>
              </c:spPr>
            </c:marker>
          </c:dPt>
          <c:trendline>
            <c:spPr>
              <a:ln w="12700">
                <a:solidFill>
                  <a:schemeClr val="accent1"/>
                </a:solidFill>
              </a:ln>
            </c:spPr>
            <c:trendlineType val="linear"/>
            <c:dispRSqr val="1"/>
            <c:dispEq val="1"/>
            <c:trendlineLbl>
              <c:layout>
                <c:manualLayout>
                  <c:x val="0.34483061987301145"/>
                  <c:y val="-2.6211869508734015E-2"/>
                </c:manualLayout>
              </c:layout>
              <c:numFmt formatCode="General" sourceLinked="0"/>
              <c:txPr>
                <a:bodyPr/>
                <a:lstStyle/>
                <a:p>
                  <a:pPr>
                    <a:defRPr lang="id-ID"/>
                  </a:pPr>
                  <a:endParaRPr lang="en-US"/>
                </a:p>
              </c:txPr>
            </c:trendlineLbl>
          </c:trendline>
          <c:trendline>
            <c:name>tanpa inhibitor</c:name>
            <c:spPr>
              <a:ln w="12700"/>
            </c:spPr>
            <c:trendlineType val="linear"/>
          </c:trendline>
          <c:xVal>
            <c:numRef>
              <c:f>'KINETIKA 2'!$M$4:$M$10</c:f>
              <c:numCache>
                <c:formatCode>0.000</c:formatCode>
                <c:ptCount val="7"/>
                <c:pt idx="0">
                  <c:v>2</c:v>
                </c:pt>
                <c:pt idx="1">
                  <c:v>1</c:v>
                </c:pt>
                <c:pt idx="2">
                  <c:v>0.5</c:v>
                </c:pt>
                <c:pt idx="3">
                  <c:v>0.25</c:v>
                </c:pt>
                <c:pt idx="4">
                  <c:v>0.125</c:v>
                </c:pt>
                <c:pt idx="5" formatCode="General">
                  <c:v>-1.258</c:v>
                </c:pt>
                <c:pt idx="6" formatCode="General">
                  <c:v>-2</c:v>
                </c:pt>
              </c:numCache>
            </c:numRef>
          </c:xVal>
          <c:yVal>
            <c:numRef>
              <c:f>'KINETIKA 2'!$N$4:$N$10</c:f>
              <c:numCache>
                <c:formatCode>General</c:formatCode>
                <c:ptCount val="7"/>
                <c:pt idx="0">
                  <c:v>1.0216015410016521E-2</c:v>
                </c:pt>
                <c:pt idx="1">
                  <c:v>6.9600674915635697E-3</c:v>
                </c:pt>
                <c:pt idx="2">
                  <c:v>5.3851174934725927E-3</c:v>
                </c:pt>
                <c:pt idx="3">
                  <c:v>4.6499248496993965E-3</c:v>
                </c:pt>
                <c:pt idx="4">
                  <c:v>4.3966129796305089E-3</c:v>
                </c:pt>
                <c:pt idx="5">
                  <c:v>0</c:v>
                </c:pt>
                <c:pt idx="6">
                  <c:v>-2.3000000000000026E-3</c:v>
                </c:pt>
              </c:numCache>
            </c:numRef>
          </c:yVal>
        </c:ser>
        <c:ser>
          <c:idx val="1"/>
          <c:order val="1"/>
          <c:tx>
            <c:v>dengan inhibitor</c:v>
          </c:tx>
          <c:spPr>
            <a:ln w="28575">
              <a:noFill/>
            </a:ln>
          </c:spPr>
          <c:dPt>
            <c:idx val="5"/>
            <c:marker>
              <c:spPr>
                <a:noFill/>
              </c:spPr>
            </c:marker>
          </c:dPt>
          <c:dPt>
            <c:idx val="6"/>
            <c:marker>
              <c:spPr>
                <a:noFill/>
              </c:spPr>
            </c:marker>
          </c:dPt>
          <c:trendline>
            <c:spPr>
              <a:ln w="12700">
                <a:solidFill>
                  <a:schemeClr val="accent2"/>
                </a:solidFill>
              </a:ln>
            </c:spPr>
            <c:trendlineType val="linear"/>
            <c:dispRSqr val="1"/>
            <c:dispEq val="1"/>
            <c:trendlineLbl>
              <c:layout>
                <c:manualLayout>
                  <c:x val="0.26952855633072292"/>
                  <c:y val="-5.9843902403682016E-2"/>
                </c:manualLayout>
              </c:layout>
              <c:numFmt formatCode="General" sourceLinked="0"/>
              <c:txPr>
                <a:bodyPr/>
                <a:lstStyle/>
                <a:p>
                  <a:pPr>
                    <a:defRPr lang="id-ID"/>
                  </a:pPr>
                  <a:endParaRPr lang="en-US"/>
                </a:p>
              </c:txPr>
            </c:trendlineLbl>
          </c:trendline>
          <c:xVal>
            <c:numRef>
              <c:f>'KINETIKA 2'!$M$13:$M$19</c:f>
              <c:numCache>
                <c:formatCode>0.000</c:formatCode>
                <c:ptCount val="7"/>
                <c:pt idx="0">
                  <c:v>2</c:v>
                </c:pt>
                <c:pt idx="1">
                  <c:v>1</c:v>
                </c:pt>
                <c:pt idx="2">
                  <c:v>0.5</c:v>
                </c:pt>
                <c:pt idx="3">
                  <c:v>0.25</c:v>
                </c:pt>
                <c:pt idx="4">
                  <c:v>0.125</c:v>
                </c:pt>
                <c:pt idx="5" formatCode="General">
                  <c:v>-1.25</c:v>
                </c:pt>
                <c:pt idx="6" formatCode="General">
                  <c:v>-2</c:v>
                </c:pt>
              </c:numCache>
            </c:numRef>
          </c:xVal>
          <c:yVal>
            <c:numRef>
              <c:f>'KINETIKA 2'!$N$13:$N$19</c:f>
              <c:numCache>
                <c:formatCode>General</c:formatCode>
                <c:ptCount val="7"/>
                <c:pt idx="0">
                  <c:v>1.5838310580204754E-2</c:v>
                </c:pt>
                <c:pt idx="1">
                  <c:v>1.0132368995633191E-2</c:v>
                </c:pt>
                <c:pt idx="2">
                  <c:v>9.0240641711230047E-3</c:v>
                </c:pt>
                <c:pt idx="3">
                  <c:v>7.093045471914413E-3</c:v>
                </c:pt>
                <c:pt idx="4">
                  <c:v>6.6011735419630223E-3</c:v>
                </c:pt>
                <c:pt idx="5">
                  <c:v>0</c:v>
                </c:pt>
                <c:pt idx="6">
                  <c:v>-3.6000000000000042E-3</c:v>
                </c:pt>
              </c:numCache>
            </c:numRef>
          </c:yVal>
        </c:ser>
        <c:axId val="91346048"/>
        <c:axId val="91348352"/>
      </c:scatterChart>
      <c:valAx>
        <c:axId val="91346048"/>
        <c:scaling>
          <c:orientation val="minMax"/>
        </c:scaling>
        <c:axPos val="b"/>
        <c:title>
          <c:tx>
            <c:rich>
              <a:bodyPr/>
              <a:lstStyle/>
              <a:p>
                <a:pPr>
                  <a:defRPr lang="id-ID"/>
                </a:pPr>
                <a:r>
                  <a:rPr lang="en-US">
                    <a:latin typeface="Times New Roman" pitchFamily="18" charset="0"/>
                    <a:cs typeface="Times New Roman" pitchFamily="18" charset="0"/>
                  </a:rPr>
                  <a:t>1/</a:t>
                </a:r>
                <a:r>
                  <a:rPr lang="id-ID">
                    <a:latin typeface="Times New Roman" pitchFamily="18" charset="0"/>
                    <a:cs typeface="Times New Roman" pitchFamily="18" charset="0"/>
                  </a:rPr>
                  <a:t>S</a:t>
                </a:r>
              </a:p>
            </c:rich>
          </c:tx>
        </c:title>
        <c:numFmt formatCode="0.000" sourceLinked="1"/>
        <c:tickLblPos val="nextTo"/>
        <c:txPr>
          <a:bodyPr/>
          <a:lstStyle/>
          <a:p>
            <a:pPr>
              <a:defRPr lang="id-ID"/>
            </a:pPr>
            <a:endParaRPr lang="en-US"/>
          </a:p>
        </c:txPr>
        <c:crossAx val="91348352"/>
        <c:crosses val="autoZero"/>
        <c:crossBetween val="midCat"/>
      </c:valAx>
      <c:valAx>
        <c:axId val="91348352"/>
        <c:scaling>
          <c:orientation val="minMax"/>
        </c:scaling>
        <c:axPos val="l"/>
        <c:title>
          <c:tx>
            <c:rich>
              <a:bodyPr rot="-5400000" vert="horz"/>
              <a:lstStyle/>
              <a:p>
                <a:pPr>
                  <a:defRPr lang="id-ID"/>
                </a:pPr>
                <a:r>
                  <a:rPr lang="en-US">
                    <a:latin typeface="Times New Roman" pitchFamily="18" charset="0"/>
                    <a:cs typeface="Times New Roman" pitchFamily="18" charset="0"/>
                  </a:rPr>
                  <a:t>1/</a:t>
                </a:r>
                <a:r>
                  <a:rPr lang="en-US"/>
                  <a:t>V</a:t>
                </a:r>
              </a:p>
            </c:rich>
          </c:tx>
        </c:title>
        <c:numFmt formatCode="General" sourceLinked="1"/>
        <c:tickLblPos val="nextTo"/>
        <c:txPr>
          <a:bodyPr/>
          <a:lstStyle/>
          <a:p>
            <a:pPr>
              <a:defRPr lang="id-ID"/>
            </a:pPr>
            <a:endParaRPr lang="en-US"/>
          </a:p>
        </c:txPr>
        <c:crossAx val="91346048"/>
        <c:crosses val="autoZero"/>
        <c:crossBetween val="midCat"/>
        <c:majorUnit val="5.0000000000000062E-3"/>
      </c:valAx>
    </c:plotArea>
    <c:legend>
      <c:legendPos val="r"/>
      <c:legendEntry>
        <c:idx val="2"/>
        <c:delete val="1"/>
      </c:legendEntry>
      <c:legendEntry>
        <c:idx val="3"/>
        <c:delete val="1"/>
      </c:legendEntry>
      <c:legendEntry>
        <c:idx val="4"/>
        <c:delete val="1"/>
      </c:legendEntry>
      <c:layout>
        <c:manualLayout>
          <c:xMode val="edge"/>
          <c:yMode val="edge"/>
          <c:x val="0.68976897689769012"/>
          <c:y val="0.46530383011873294"/>
          <c:w val="0.28960396039603958"/>
          <c:h val="0.20790697042807546"/>
        </c:manualLayout>
      </c:layout>
      <c:txPr>
        <a:bodyPr/>
        <a:lstStyle/>
        <a:p>
          <a:pPr>
            <a:defRPr lang="id-ID"/>
          </a:pPr>
          <a:endParaRPr lang="en-US"/>
        </a:p>
      </c:txPr>
    </c:legend>
    <c:plotVisOnly val="1"/>
    <c:dispBlanksAs val="gap"/>
  </c:chart>
  <c:spPr>
    <a:ln>
      <a:solidFill>
        <a:schemeClr val="bg1"/>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C5BC2-D995-4D5A-832D-B21A3BE1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2227</Words>
  <Characters>12698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 Group</dc:creator>
  <cp:lastModifiedBy>USER_PC</cp:lastModifiedBy>
  <cp:revision>5</cp:revision>
  <dcterms:created xsi:type="dcterms:W3CDTF">2016-08-19T06:55:00Z</dcterms:created>
  <dcterms:modified xsi:type="dcterms:W3CDTF">2016-08-23T05:03:00Z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User Name_1">
    <vt:lpwstr>rinzabagusprakoso@gmail.com@www.mendeley.com</vt:lpwstr>
  </property>
</Properties>
</file>